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drawing>
          <wp:inline distT="0" distB="0" distL="0" distR="0">
            <wp:extent cx="9144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914400"/>
                    </a:xfrm>
                    <a:prstGeom prst="rect">
                      <a:avLst/>
                    </a:prstGeom>
                  </pic:spPr>
                </pic:pic>
              </a:graphicData>
            </a:graphic>
          </wp:inline>
        </w:drawing>
      </w:r>
    </w:p>
    <w:p>
      <w:pPr>
        <w:pStyle w:val="Heading1"/>
        <w:jc w:val="left"/>
      </w:pPr>
      <w:r>
        <w:rPr>
          <w:b/>
          <w:bCs/>
          <w:color w:val="8C1626"/>
          <w:sz w:val="40"/>
          <w:szCs w:val="40"/>
        </w:rPr>
        <w:t xml:space="preserve">RUN OF SHOW</w:t>
      </w:r>
    </w:p>
    <w:p>
      <w:r>
        <w:rPr>
          <w:color w:val="69707D"/>
          <w:sz w:val="20"/>
          <w:szCs w:val="20"/>
        </w:rPr>
        <w:t xml:space="preserve">13th Annual National HBCU Pre-Law Summit &amp; Law Expo · September 24–27, 2026 · Raleigh–Durham, North Carolina</w:t>
      </w:r>
    </w:p>
    <w:p>
      <w:pPr>
        <w:spacing w:after="240" w:before="120"/>
      </w:pPr>
      <w:r>
        <w:rPr>
          <w:i/>
          <w:iCs/>
          <w:color w:val="69707D"/>
          <w:sz w:val="18"/>
          <w:szCs w:val="18"/>
        </w:rPr>
        <w:t xml:space="preserve">Internal Participant Run of Show Documents for the 2026 Summit. These replace all earlier versions — all timings are subject to change prior to the event, so always check this page for the latest version before your session.</w:t>
      </w:r>
    </w:p>
    <w:p>
      <w:pPr>
        <w:pStyle w:val="Heading2"/>
        <w:spacing w:after="80"/>
      </w:pPr>
      <w:r>
        <w:rPr>
          <w:b/>
          <w:bCs/>
          <w:color w:val="0F2040"/>
          <w:sz w:val="30"/>
          <w:szCs w:val="30"/>
        </w:rPr>
        <w:t xml:space="preserve">Legal Education Pipeline Programs Panel Discussion</w:t>
      </w:r>
    </w:p>
    <w:p>
      <w:pPr>
        <w:spacing w:after="160"/>
      </w:pPr>
      <w:r>
        <w:rPr>
          <w:color w:val="69707D"/>
          <w:sz w:val="20"/>
          <w:szCs w:val="20"/>
        </w:rPr>
        <w:t xml:space="preserve">Day 3 · Saturday · Saturday, September 26, 2026 · 11:15 AM – 12:15 PM EDT · NCCU Student Center | Second Floor | Event Hall · 500 Nelson Street, Durham, NC 27707 · Co-moderated program showcase with individual spotlights, comparative guidance, and curated audience questions · All registered attendees · 60 minutes</w:t>
      </w:r>
    </w:p>
    <w:p>
      <w:pPr>
        <w:spacing w:after="60"/>
      </w:pPr>
      <w:r>
        <w:rPr>
          <w:color w:val="282C34"/>
          <w:sz w:val="20"/>
          <w:szCs w:val="20"/>
        </w:rPr>
        <w:t xml:space="preserve">Pathways and Promise: How Pipeline Programs Help You Get Into and Succeed in Law School</w:t>
      </w:r>
    </w:p>
    <w:p>
      <w:pPr>
        <w:spacing w:after="120" w:before="240"/>
      </w:pPr>
      <w:r>
        <w:rPr>
          <w:b/>
          <w:bCs/>
          <w:color w:val="0F2040"/>
          <w:sz w:val="22"/>
          <w:szCs w:val="22"/>
        </w:rPr>
        <w:t xml:space="preserve">KEY DETAILS</w:t>
      </w:r>
    </w:p>
    <w:p>
      <w:pPr>
        <w:spacing w:after="60"/>
      </w:pPr>
      <w:r>
        <w:rPr>
          <w:color w:val="282C34"/>
          <w:sz w:val="20"/>
          <w:szCs w:val="20"/>
        </w:rPr>
        <w:t xml:space="preserve">Session purpose: Increase awareness of specific pipeline programs while teaching attendees how to find, evaluate, and pursue additional opportunities — purpose, eligibility, timing, benefits, expectations, and next steps.</w:t>
      </w:r>
    </w:p>
    <w:p>
      <w:pPr>
        <w:spacing w:after="60"/>
      </w:pPr>
      <w:r>
        <w:rPr>
          <w:color w:val="282C34"/>
          <w:sz w:val="20"/>
          <w:szCs w:val="20"/>
        </w:rPr>
        <w:t xml:space="preserve">Spotlight round: Every featured panelist receives up to two uninterrupted minutes, with brief co-moderator transitions between spotlights.</w:t>
      </w:r>
    </w:p>
    <w:p>
      <w:pPr>
        <w:spacing w:after="120" w:before="240"/>
      </w:pPr>
      <w:r>
        <w:rPr>
          <w:b/>
          <w:bCs/>
          <w:color w:val="0F2040"/>
          <w:sz w:val="22"/>
          <w:szCs w:val="22"/>
        </w:rPr>
        <w:t xml:space="preserve">PARTICIPANTS</w:t>
      </w:r>
    </w:p>
    <w:p>
      <w:pPr>
        <w:spacing w:after="60"/>
      </w:pPr>
      <w:r>
        <w:rPr>
          <w:color w:val="282C34"/>
          <w:sz w:val="20"/>
          <w:szCs w:val="20"/>
        </w:rPr>
        <w:t xml:space="preserve">Aminta Moses Sharps, J.D., Ph.D. — Featured Panelist — Pathway &amp; Education Programs Manager, Law School Admission Council</w:t>
      </w:r>
    </w:p>
    <w:p>
      <w:pPr>
        <w:spacing w:after="60"/>
      </w:pPr>
      <w:r>
        <w:rPr>
          <w:color w:val="282C34"/>
          <w:sz w:val="20"/>
          <w:szCs w:val="20"/>
        </w:rPr>
        <w:t xml:space="preserve">Bianca D. Evans, Ph.D., M.B.A. — Featured Panelist — Director of Community Outreach, Samford University Cumberland School of Law</w:t>
      </w:r>
    </w:p>
    <w:p>
      <w:pPr>
        <w:spacing w:after="60"/>
      </w:pPr>
      <w:r>
        <w:rPr>
          <w:color w:val="282C34"/>
          <w:sz w:val="20"/>
          <w:szCs w:val="20"/>
        </w:rPr>
        <w:t xml:space="preserve">Glenda Thornton, Esq. — Featured Panelist — Assistant Dean for Strategic Initiatives, Florida State University College of Law</w:t>
      </w:r>
    </w:p>
    <w:p>
      <w:pPr>
        <w:spacing w:after="60"/>
      </w:pPr>
      <w:r>
        <w:rPr>
          <w:color w:val="282C34"/>
          <w:sz w:val="20"/>
          <w:szCs w:val="20"/>
        </w:rPr>
        <w:t xml:space="preserve">Heather Noman, Esq. — Featured Panelist — Regional Admissions Officer, Appalachian School of Law</w:t>
      </w:r>
    </w:p>
    <w:p>
      <w:pPr>
        <w:spacing w:after="60"/>
      </w:pPr>
      <w:r>
        <w:rPr>
          <w:color w:val="282C34"/>
          <w:sz w:val="20"/>
          <w:szCs w:val="20"/>
        </w:rPr>
        <w:t xml:space="preserve">Jesse McCoy, Esq. — Featured Panelist — Associate Clinical Professor of Law and Director, Civil Justice Clinic; Faculty Director, Duke Pre-Law Fellowship Program, Duke University School of Law</w:t>
      </w:r>
    </w:p>
    <w:p>
      <w:pPr>
        <w:spacing w:after="60"/>
      </w:pPr>
      <w:r>
        <w:rPr>
          <w:color w:val="282C34"/>
          <w:sz w:val="20"/>
          <w:szCs w:val="20"/>
        </w:rPr>
        <w:t xml:space="preserve">Kerimal Suriel Guerrero, Esq. — Featured Panelist — Assistant Dean for Law Student Affairs, Suffolk University Law School</w:t>
      </w:r>
    </w:p>
    <w:p>
      <w:pPr>
        <w:spacing w:after="60"/>
      </w:pPr>
      <w:r>
        <w:rPr>
          <w:color w:val="282C34"/>
          <w:sz w:val="20"/>
          <w:szCs w:val="20"/>
        </w:rPr>
        <w:t xml:space="preserve">Michelle Gunter, Esq. — Featured Panelist — Assistant Dean for Admissions and Enrollment Management, University of Baltimore School of Law</w:t>
      </w:r>
    </w:p>
    <w:p>
      <w:pPr>
        <w:spacing w:after="60"/>
      </w:pPr>
      <w:r>
        <w:rPr>
          <w:color w:val="282C34"/>
          <w:sz w:val="20"/>
          <w:szCs w:val="20"/>
        </w:rPr>
        <w:t xml:space="preserve">Lindsay V. Chuang, J.D. — Featured Panelist — Assistant Dean of Admission &amp; Financial Aid, UC Davis School of Law | King Hall</w:t>
      </w:r>
    </w:p>
    <w:p>
      <w:pPr>
        <w:spacing w:after="60"/>
      </w:pPr>
      <w:r>
        <w:rPr>
          <w:color w:val="282C34"/>
          <w:sz w:val="20"/>
          <w:szCs w:val="20"/>
        </w:rPr>
        <w:t xml:space="preserve">Mary Ann Ferguson, Esq. — Featured Panelist — Assistant Dean for Access and Community Engagement, Michigan State University College of Law; East Lansing, Michigan</w:t>
      </w:r>
    </w:p>
    <w:p>
      <w:pPr>
        <w:spacing w:after="60"/>
      </w:pPr>
      <w:r>
        <w:rPr>
          <w:color w:val="282C34"/>
          <w:sz w:val="20"/>
          <w:szCs w:val="20"/>
        </w:rPr>
        <w:t xml:space="preserve">Jessica Cody — Co-Moderator — Law Student, North Carolina Central University School of Law; Durham, North Carolina</w:t>
      </w:r>
    </w:p>
    <w:p>
      <w:pPr>
        <w:spacing w:after="60"/>
      </w:pPr>
      <w:r>
        <w:rPr>
          <w:color w:val="282C34"/>
          <w:sz w:val="20"/>
          <w:szCs w:val="20"/>
        </w:rPr>
        <w:t xml:space="preserve">Cindy Jean — Co-Moderator — Director of Pre-Law, Mid-Atlantic Black Law Students Association; Second-Year Law Student, George Washington University Law School; Washington, DC</w:t>
      </w:r>
    </w:p>
    <w:p>
      <w:pPr>
        <w:spacing w:after="120" w:before="240"/>
      </w:pPr>
      <w:r>
        <w:rPr>
          <w:b/>
          <w:bCs/>
          <w:color w:val="0F2040"/>
          <w:sz w:val="22"/>
          <w:szCs w:val="22"/>
        </w:rPr>
        <w:t xml:space="preserve">PRE-SHOW &amp; CALL TIMES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10:15 AM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Speaker check-in</w:t>
            </w:r>
          </w:p>
          <w:p>
            <w:r>
              <w:rPr>
                <w:color w:val="282C34"/>
                <w:sz w:val="18"/>
                <w:szCs w:val="18"/>
              </w:rPr>
              <w:t xml:space="preserve">Arrive 60 minutes early, check in on the second floor of the NCCU Student Center, and be escorted to the Senate Room (Speaker Suite). Confirm affiliations, program names, eligibility language, pronunciations, and accessibility needs.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10:45 AM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Group briefing</w:t>
            </w:r>
          </w:p>
          <w:p>
            <w:r>
              <w:rPr>
                <w:color w:val="282C34"/>
                <w:sz w:val="18"/>
                <w:szCs w:val="18"/>
              </w:rPr>
              <w:t xml:space="preserve">Confirm each spotlight, remove duplication, verify details, and review how the co-moderators will divide framing, transitions, and audience questions.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11:05 AM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Final readiness check</w:t>
            </w:r>
          </w:p>
          <w:p>
            <w:r>
              <w:rPr>
                <w:color w:val="282C34"/>
                <w:sz w:val="18"/>
                <w:szCs w:val="18"/>
              </w:rPr>
              <w:t xml:space="preserve">Take assigned seats, confirm microphones, and be ready for the 11:15 AM start.</w:t>
            </w:r>
          </w:p>
        </w:tc>
      </w:tr>
    </w:tbl>
    <w:p>
      <w:pPr>
        <w:spacing w:after="120" w:before="240"/>
      </w:pPr>
      <w:r>
        <w:rPr>
          <w:b/>
          <w:bCs/>
          <w:color w:val="0F2040"/>
          <w:sz w:val="22"/>
          <w:szCs w:val="22"/>
        </w:rPr>
        <w:t xml:space="preserve">PROGRAM RUN OF SHOW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11:15 – 11:19</w:t>
            </w:r>
          </w:p>
          <w:p>
            <w:r>
              <w:rPr>
                <w:color w:val="8C1626"/>
                <w:sz w:val="16"/>
                <w:szCs w:val="16"/>
              </w:rPr>
              <w:t xml:space="preserve">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Welcome and frame (Jessica)</w:t>
            </w:r>
          </w:p>
          <w:p>
            <w:r>
              <w:rPr>
                <w:color w:val="282C34"/>
                <w:sz w:val="18"/>
                <w:szCs w:val="18"/>
              </w:rPr>
              <w:t xml:space="preserve">Define pipeline broadly; explain the program-spotlight format and the goal of opening doors to further research.</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11:19 – 11:23</w:t>
            </w:r>
          </w:p>
          <w:p>
            <w:r>
              <w:rPr>
                <w:color w:val="8C1626"/>
                <w:sz w:val="16"/>
                <w:szCs w:val="16"/>
              </w:rPr>
              <w:t xml:space="preserve">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Concise introductions (Cindy)</w:t>
            </w:r>
          </w:p>
          <w:p>
            <w:r>
              <w:rPr>
                <w:color w:val="282C34"/>
                <w:sz w:val="18"/>
                <w:szCs w:val="18"/>
              </w:rPr>
              <w:t xml:space="preserve">Name, organization, current role, and the program or opportunity each speaker will highlight.</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11:23 – 11:43</w:t>
            </w:r>
          </w:p>
          <w:p>
            <w:r>
              <w:rPr>
                <w:color w:val="8C1626"/>
                <w:sz w:val="16"/>
                <w:szCs w:val="16"/>
              </w:rPr>
              <w:t xml:space="preserve">20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Program spotlight round (both)</w:t>
            </w:r>
          </w:p>
          <w:p>
            <w:r>
              <w:rPr>
                <w:color w:val="282C34"/>
                <w:sz w:val="18"/>
                <w:szCs w:val="18"/>
              </w:rPr>
              <w:t xml:space="preserve">Up to two minutes per featured panelist with brief co-moderator transitions.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11:43 – 11:57</w:t>
            </w:r>
          </w:p>
          <w:p>
            <w:r>
              <w:rPr>
                <w:color w:val="8C1626"/>
                <w:sz w:val="16"/>
                <w:szCs w:val="16"/>
              </w:rPr>
              <w:t xml:space="preserve">14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Comparative discussion (both)</w:t>
            </w:r>
          </w:p>
          <w:p>
            <w:r>
              <w:rPr>
                <w:color w:val="282C34"/>
                <w:sz w:val="18"/>
                <w:szCs w:val="18"/>
              </w:rPr>
              <w:t xml:space="preserve">How to find programs, assess fit and quality, apply competitively, participate fully, build relationships, and carry benefits forward.</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11:57 – 12:04</w:t>
            </w:r>
          </w:p>
          <w:p>
            <w:r>
              <w:rPr>
                <w:color w:val="8C1626"/>
                <w:sz w:val="16"/>
                <w:szCs w:val="16"/>
              </w:rPr>
              <w:t xml:space="preserve">7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Research and action plan (Jessica)</w:t>
            </w:r>
          </w:p>
          <w:p>
            <w:r>
              <w:rPr>
                <w:color w:val="282C34"/>
                <w:sz w:val="18"/>
                <w:szCs w:val="18"/>
              </w:rPr>
              <w:t xml:space="preserve">Build a 30-, 90-, and 180-day plan for discovering and pursuing programs beyond those highlighted today.</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12:04 – 12:11</w:t>
            </w:r>
          </w:p>
          <w:p>
            <w:r>
              <w:rPr>
                <w:color w:val="8C1626"/>
                <w:sz w:val="16"/>
                <w:szCs w:val="16"/>
              </w:rPr>
              <w:t xml:space="preserve">7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Curated audience questions (Cindy)</w:t>
            </w:r>
          </w:p>
          <w:p>
            <w:r>
              <w:rPr>
                <w:color w:val="282C34"/>
                <w:sz w:val="18"/>
                <w:szCs w:val="18"/>
              </w:rPr>
              <w:t xml:space="preserve">Eligibility, timing, cost, access, application strategy, and where to find reliable information.</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12:11 – 12:15</w:t>
            </w:r>
          </w:p>
          <w:p>
            <w:r>
              <w:rPr>
                <w:color w:val="8C1626"/>
                <w:sz w:val="16"/>
                <w:szCs w:val="16"/>
              </w:rPr>
              <w:t xml:space="preserve">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Open-door round and close (both)</w:t>
            </w:r>
          </w:p>
          <w:p>
            <w:r>
              <w:rPr>
                <w:color w:val="282C34"/>
                <w:sz w:val="18"/>
                <w:szCs w:val="18"/>
              </w:rPr>
              <w:t xml:space="preserve">Each panelist gives one official next step or research cue; moderators reinforce continued exploration.</w:t>
            </w:r>
          </w:p>
        </w:tc>
      </w:tr>
    </w:tbl>
    <w:p>
      <w:pPr>
        <w:spacing w:after="120" w:before="240"/>
      </w:pPr>
      <w:r>
        <w:rPr>
          <w:b/>
          <w:bCs/>
          <w:color w:val="0F2040"/>
          <w:sz w:val="22"/>
          <w:szCs w:val="22"/>
        </w:rPr>
        <w:t xml:space="preserve">PRODUCTION &amp; SPEAKER NOTES</w:t>
      </w:r>
    </w:p>
    <w:p>
      <w:pPr>
        <w:spacing w:after="60"/>
      </w:pPr>
      <w:r>
        <w:rPr>
          <w:color w:val="282C34"/>
          <w:sz w:val="20"/>
          <w:szCs w:val="20"/>
        </w:rPr>
        <w:t xml:space="preserve">• Verify current eligibility, deadlines, cost, funding, and application details shortly before the Summit.</w:t>
      </w:r>
    </w:p>
    <w:p>
      <w:pPr>
        <w:spacing w:after="60"/>
      </w:pPr>
      <w:r>
        <w:rPr>
          <w:color w:val="282C34"/>
          <w:sz w:val="20"/>
          <w:szCs w:val="20"/>
        </w:rPr>
        <w:t xml:space="preserve">• Avoid implying that the highlighted programs are the only or universally best options — create curiosity and research habits.</w:t>
      </w:r>
    </w:p>
    <w:p>
      <w:pPr>
        <w:spacing w:after="60"/>
      </w:pPr>
      <w:r>
        <w:rPr>
          <w:color w:val="282C34"/>
          <w:sz w:val="20"/>
          <w:szCs w:val="20"/>
        </w:rPr>
        <w:t xml:space="preserve">• Co-moderators bridge from the programs named on stage to official sources, campus pre-law advisors, law-school pipeline pages, professional associations, and application calendars.</w:t>
      </w:r>
    </w:p>
    <w:p>
      <w:pPr>
        <w:spacing w:after="60"/>
      </w:pPr>
      <w:r>
        <w:rPr>
          <w:color w:val="282C34"/>
          <w:sz w:val="20"/>
          <w:szCs w:val="20"/>
        </w:rPr>
        <w:t xml:space="preserve">• Please help protect the published 12:15 PM hard stop by following moderator time cues.</w:t>
      </w:r>
    </w:p>
    <w:p>
      <w:pPr>
        <w:spacing w:after="60"/>
      </w:pPr>
      <w:r>
        <w:rPr>
          <w:color w:val="282C34"/>
          <w:sz w:val="20"/>
          <w:szCs w:val="20"/>
        </w:rPr>
        <w:t xml:space="preserve">• Opening responses should generally stay within 60–75 seconds; follow-ups within 30–45 seconds.</w:t>
      </w:r>
    </w:p>
    <w:p>
      <w:pPr>
        <w:spacing w:after="60"/>
      </w:pPr>
      <w:r>
        <w:rPr>
          <w:color w:val="282C34"/>
          <w:sz w:val="20"/>
          <w:szCs w:val="20"/>
        </w:rPr>
        <w:t xml:space="preserve">• Moderators may direct a question to selected speakers; panelists should add only a distinct point rather than repeat an answer.</w:t>
      </w:r>
    </w:p>
    <w:p>
      <w:pPr>
        <w:spacing w:after="60"/>
      </w:pPr>
      <w:r>
        <w:rPr>
          <w:color w:val="282C34"/>
          <w:sz w:val="20"/>
          <w:szCs w:val="20"/>
        </w:rPr>
        <w:t xml:space="preserve">• Audience questions will be curated from submitted cards or a monitored form. There will be no unscreened open microphone unless the format specifically calls for interactive Q&amp;A.</w:t>
      </w:r>
    </w:p>
    <w:p>
      <w:pPr>
        <w:spacing w:after="60"/>
      </w:pPr>
      <w:r>
        <w:rPr>
          <w:color w:val="282C34"/>
          <w:sz w:val="20"/>
          <w:szCs w:val="20"/>
        </w:rPr>
        <w:t xml:space="preserve">• Confirm the spelling and pronunciation of your name, credentials, title, and affiliation, and share any accessibility needs before the event.</w:t>
      </w:r>
    </w:p>
    <w:p>
      <w:pPr>
        <w:spacing w:after="60"/>
      </w:pPr>
      <w:r>
        <w:rPr>
          <w:color w:val="282C34"/>
          <w:sz w:val="20"/>
          <w:szCs w:val="20"/>
        </w:rPr>
        <w:t xml:space="preserve">• No slides are planned. If a visual or handout is essential, obtain approval in advance.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e4246016ab41b0e305b1908e910abe34253c0b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2026-09-23T11:52:30.099Z</dcterms:created>
  <dcterms:modified xsi:type="dcterms:W3CDTF">2026-09-23T11:52:30.099Z</dcterms:modified>
</cp:coreProperties>
</file>

<file path=docProps/custom.xml><?xml version="1.0" encoding="utf-8"?>
<Properties xmlns="http://schemas.openxmlformats.org/officeDocument/2006/custom-properties" xmlns:vt="http://schemas.openxmlformats.org/officeDocument/2006/docPropsVTypes"/>
</file>