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HBCU Law School Deans Showcase</w:t>
      </w:r>
    </w:p>
    <w:p>
      <w:pPr>
        <w:spacing w:after="160"/>
      </w:pPr>
      <w:r>
        <w:rPr>
          <w:color w:val="69707D"/>
          <w:sz w:val="20"/>
          <w:szCs w:val="20"/>
        </w:rPr>
        <w:t xml:space="preserve">Day 2 · Friday · Friday, September 25, 2026 · 6:45 – 7:45 PM EDT · NCCU Student Center | Second Floor | Event Hall · 500 Nelson Street, Durham, NC 27707 · Student-centered, co-moderated conversation with equal-time institutional spotlights; no slides · All registered attendees · 60 minutes</w:t>
      </w:r>
    </w:p>
    <w:p>
      <w:pPr>
        <w:spacing w:after="60"/>
      </w:pPr>
      <w:r>
        <w:rPr>
          <w:color w:val="282C34"/>
          <w:sz w:val="20"/>
          <w:szCs w:val="20"/>
        </w:rPr>
        <w:t xml:space="preserve">Legacy, Leadership, and Your Future in Law</w:t>
      </w:r>
    </w:p>
    <w:p>
      <w:pPr>
        <w:spacing w:after="120" w:before="240"/>
      </w:pPr>
      <w:r>
        <w:rPr>
          <w:b/>
          <w:bCs/>
          <w:color w:val="0F2040"/>
          <w:sz w:val="22"/>
          <w:szCs w:val="22"/>
        </w:rPr>
        <w:t xml:space="preserve">KEY DETAILS</w:t>
      </w:r>
    </w:p>
    <w:p>
      <w:pPr>
        <w:spacing w:after="60"/>
      </w:pPr>
      <w:r>
        <w:rPr>
          <w:color w:val="282C34"/>
          <w:sz w:val="20"/>
          <w:szCs w:val="20"/>
        </w:rPr>
        <w:t xml:space="preserve">Session purpose: Six HBCU law schools are represented: five leaders join live and Dean Roger A. Fairfax, Jr. of Howard University School of Law appears via pre-recorded message. Together they discuss institutional mission, culture, academic opportunity, student support, bar preparation, affordability, career pathways, leadership, technology, and the future of HBCU legal education. The title intentionally does not imply participation by all six HBCU law schools.</w:t>
      </w:r>
    </w:p>
    <w:p>
      <w:pPr>
        <w:spacing w:after="60"/>
      </w:pPr>
      <w:r>
        <w:rPr>
          <w:color w:val="282C34"/>
          <w:sz w:val="20"/>
          <w:szCs w:val="20"/>
        </w:rPr>
        <w:t xml:space="preserve">Format note: Institutional spotlights give every participating institution comparable time and visibility; Dean Fairfax's pre-recorded message is presented in place of a live spotlight. In the rapid-fire round, each live leader answers only one of the two prompt options.</w:t>
      </w:r>
    </w:p>
    <w:p>
      <w:pPr>
        <w:spacing w:after="120" w:before="240"/>
      </w:pPr>
      <w:r>
        <w:rPr>
          <w:b/>
          <w:bCs/>
          <w:color w:val="0F2040"/>
          <w:sz w:val="22"/>
          <w:szCs w:val="22"/>
        </w:rPr>
        <w:t xml:space="preserve">PARTICIPANTS</w:t>
      </w:r>
    </w:p>
    <w:p>
      <w:pPr>
        <w:spacing w:after="60"/>
      </w:pPr>
      <w:r>
        <w:rPr>
          <w:color w:val="282C34"/>
          <w:sz w:val="20"/>
          <w:szCs w:val="20"/>
        </w:rPr>
        <w:t xml:space="preserve">Angela Gilmore, J.D. — Featured Leader — Dean, UDC David A. Clarke School of Law</w:t>
      </w:r>
    </w:p>
    <w:p>
      <w:pPr>
        <w:spacing w:after="60"/>
      </w:pPr>
      <w:r>
        <w:rPr>
          <w:color w:val="282C34"/>
          <w:sz w:val="20"/>
          <w:szCs w:val="20"/>
        </w:rPr>
        <w:t xml:space="preserve">Joseph Karl Grant, Esq. — Featured Leader — Dean, North Carolina Central University School of Law</w:t>
      </w:r>
    </w:p>
    <w:p>
      <w:pPr>
        <w:spacing w:after="60"/>
      </w:pPr>
      <w:r>
        <w:rPr>
          <w:color w:val="282C34"/>
          <w:sz w:val="20"/>
          <w:szCs w:val="20"/>
        </w:rPr>
        <w:t xml:space="preserve">Marla Dickerson, M.S., J.D., Ph.D. — Featured Leader — Vice Chancellor of Innovation and Strategic Partnerships and Initiatives, Southern University Law Center</w:t>
      </w:r>
    </w:p>
    <w:p>
      <w:pPr>
        <w:spacing w:after="60"/>
      </w:pPr>
      <w:r>
        <w:rPr>
          <w:color w:val="282C34"/>
          <w:sz w:val="20"/>
          <w:szCs w:val="20"/>
        </w:rPr>
        <w:t xml:space="preserve">McKen V. Carrington, Esq. — Featured Leader — Acting Dean and Professor of Law, Thurgood Marshall School of Law, Texas Southern University</w:t>
      </w:r>
    </w:p>
    <w:p>
      <w:pPr>
        <w:spacing w:after="60"/>
      </w:pPr>
      <w:r>
        <w:rPr>
          <w:color w:val="282C34"/>
          <w:sz w:val="20"/>
          <w:szCs w:val="20"/>
        </w:rPr>
        <w:t xml:space="preserve">Simone Marstiller, J.D. — Featured Leader — Dean, Florida A&amp;M University College of Law</w:t>
      </w:r>
    </w:p>
    <w:p>
      <w:pPr>
        <w:spacing w:after="60"/>
      </w:pPr>
      <w:r>
        <w:rPr>
          <w:color w:val="282C34"/>
          <w:sz w:val="20"/>
          <w:szCs w:val="20"/>
        </w:rPr>
        <w:t xml:space="preserve">Roger A. Fairfax, Jr., Esq. — Featured Leader (Pre-Recorded Message) — Dean, Howard University School of Law</w:t>
      </w:r>
    </w:p>
    <w:p>
      <w:pPr>
        <w:spacing w:after="60"/>
      </w:pPr>
      <w:r>
        <w:rPr>
          <w:color w:val="282C34"/>
          <w:sz w:val="20"/>
          <w:szCs w:val="20"/>
        </w:rPr>
        <w:t xml:space="preserve">Bakari Jackson — Co-Moderator — SBA President, North Carolina Central University School of Law</w:t>
      </w:r>
    </w:p>
    <w:p>
      <w:pPr>
        <w:spacing w:after="60"/>
      </w:pPr>
      <w:r>
        <w:rPr>
          <w:color w:val="282C34"/>
          <w:sz w:val="20"/>
          <w:szCs w:val="20"/>
        </w:rPr>
        <w:t xml:space="preserve">Brandy Owens Domengeaux, Esq. — Co-Moderator — Principal Senior Lecturer of Law, Georgia State University College of Law; Founder &amp; CEO, The Bar Writing Coach, LLC; Atlanta, Georgia</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6:00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Speaker check-in</w:t>
            </w:r>
          </w:p>
          <w:p>
            <w:r>
              <w:rPr>
                <w:color w:val="282C34"/>
                <w:sz w:val="18"/>
                <w:szCs w:val="18"/>
              </w:rPr>
              <w:t xml:space="preserve">Confirm credentials, institutional titles, pronunciations, accessibility needs, and spotlight order.</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6:15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Group briefing</w:t>
            </w:r>
          </w:p>
          <w:p>
            <w:r>
              <w:rPr>
                <w:color w:val="282C34"/>
                <w:sz w:val="18"/>
                <w:szCs w:val="18"/>
              </w:rPr>
              <w:t xml:space="preserve">Review equal-time expectations, moderator question ownership, transitions, and the single-response rapid-fire round.</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6:35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readiness check</w:t>
            </w:r>
          </w:p>
          <w:p>
            <w:r>
              <w:rPr>
                <w:color w:val="282C34"/>
                <w:sz w:val="18"/>
                <w:szCs w:val="18"/>
              </w:rPr>
              <w:t xml:space="preserve">Take assigned seats, confirm microphones, and be ready for the 6:45 PM start.</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6:45 – 6:48</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and frame (Bakari)</w:t>
            </w:r>
          </w:p>
          <w:p>
            <w:r>
              <w:rPr>
                <w:color w:val="282C34"/>
                <w:sz w:val="18"/>
                <w:szCs w:val="18"/>
              </w:rPr>
              <w:t xml:space="preserve">Celebrate the collective legacy and explain the co-moderated format.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6:48 – 6:52</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Leader introductions (Brandy)</w:t>
            </w:r>
          </w:p>
          <w:p>
            <w:r>
              <w:rPr>
                <w:color w:val="282C34"/>
                <w:sz w:val="18"/>
                <w:szCs w:val="18"/>
              </w:rPr>
              <w:t xml:space="preserve">Name, institution, current role, and one sentence on institutional mission.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6:52 – 7:16</w:t>
            </w:r>
          </w:p>
          <w:p>
            <w:r>
              <w:rPr>
                <w:color w:val="8C1626"/>
                <w:sz w:val="16"/>
                <w:szCs w:val="16"/>
              </w:rPr>
              <w:t xml:space="preserve">24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Institutional spotlights (live leaders)</w:t>
            </w:r>
          </w:p>
          <w:p>
            <w:r>
              <w:rPr>
                <w:color w:val="282C34"/>
                <w:sz w:val="18"/>
                <w:szCs w:val="18"/>
              </w:rPr>
              <w:t xml:space="preserve">Approximately four to five minutes per institution; protect equal time.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7:16 – 7:20</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Pre-recorded message — Dean Roger A. Fairfax, Jr. (Howard University School of Law)</w:t>
            </w:r>
          </w:p>
          <w:p>
            <w:r>
              <w:rPr>
                <w:color w:val="282C34"/>
                <w:sz w:val="18"/>
                <w:szCs w:val="18"/>
              </w:rPr>
              <w:t xml:space="preserve">Play the pre-recorded video message on the house screens; AV cue confirmed at the 6:35 PM readiness check.</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7:20 – 7:38</w:t>
            </w:r>
          </w:p>
          <w:p>
            <w:r>
              <w:rPr>
                <w:color w:val="8C1626"/>
                <w:sz w:val="16"/>
                <w:szCs w:val="16"/>
              </w:rPr>
              <w:t xml:space="preserve">18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Moderated conversation and audience questions (Bakari + Brandy)</w:t>
            </w:r>
          </w:p>
          <w:p>
            <w:r>
              <w:rPr>
                <w:color w:val="282C34"/>
                <w:sz w:val="18"/>
                <w:szCs w:val="18"/>
              </w:rPr>
              <w:t xml:space="preserve">Access, student success, affordability, technology, leadership, the next era of HBCU legal education, and one or two curated audience questions with value across institutions.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7:38 – 7:43</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Rapid-fire round (live leaders)</w:t>
            </w:r>
          </w:p>
          <w:p>
            <w:r>
              <w:rPr>
                <w:color w:val="282C34"/>
                <w:sz w:val="18"/>
                <w:szCs w:val="18"/>
              </w:rPr>
              <w:t xml:space="preserve">One concise response: an overlooked institutional strength OR a question every prospective student should ask.</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7:43 – 7:45</w:t>
            </w:r>
          </w:p>
          <w:p>
            <w:r>
              <w:rPr>
                <w:color w:val="8C1626"/>
                <w:sz w:val="16"/>
                <w:szCs w:val="16"/>
              </w:rPr>
              <w:t xml:space="preserve">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Joint closing invitation (Bakari + Brandy)</w:t>
            </w:r>
          </w:p>
          <w:p>
            <w:r>
              <w:rPr>
                <w:color w:val="282C34"/>
                <w:sz w:val="18"/>
                <w:szCs w:val="18"/>
              </w:rPr>
              <w:t xml:space="preserve">Synthesize the conversation and invite attendees to continue learning about each institution.</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Keep comparisons mission- and student-centered; avoid characterizing another institution's program, culture, or outcomes.</w:t>
      </w:r>
    </w:p>
    <w:p>
      <w:pPr>
        <w:spacing w:after="60"/>
      </w:pPr>
      <w:r>
        <w:rPr>
          <w:color w:val="282C34"/>
          <w:sz w:val="20"/>
          <w:szCs w:val="20"/>
        </w:rPr>
        <w:t xml:space="preserve">• Bakari and Brandy deliver the closing jointly; featured leaders do not need to prepare an additional closing statement.</w:t>
      </w:r>
    </w:p>
    <w:p>
      <w:pPr>
        <w:spacing w:after="60"/>
      </w:pPr>
      <w:r>
        <w:rPr>
          <w:color w:val="282C34"/>
          <w:sz w:val="20"/>
          <w:szCs w:val="20"/>
        </w:rPr>
        <w:t xml:space="preserve">• Confirm the pre-recorded Howard message is loaded on the AV laptop and backed up on USB before the 6:35 PM readiness check.</w:t>
      </w:r>
    </w:p>
    <w:p>
      <w:pPr>
        <w:spacing w:after="60"/>
      </w:pPr>
      <w:r>
        <w:rPr>
          <w:color w:val="282C34"/>
          <w:sz w:val="20"/>
          <w:szCs w:val="20"/>
        </w:rPr>
        <w:t xml:space="preserve">• Please help protect the published 7:45 PM hard stop by following moderator time cues.</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Moderators may direct a question to selected speakers; panelists should add only a distinct point rather than repeat an answer.</w:t>
      </w:r>
    </w:p>
    <w:p>
      <w:pPr>
        <w:spacing w:after="60"/>
      </w:pPr>
      <w:r>
        <w:rPr>
          <w:color w:val="282C34"/>
          <w:sz w:val="20"/>
          <w:szCs w:val="20"/>
        </w:rPr>
        <w:t xml:space="preserve">• Audience questions will be curated from submitted cards or a monitored form. There will be no unscreened open microphone unless the format specifically calls for interactive Q&amp;A.</w:t>
      </w:r>
    </w:p>
    <w:p>
      <w:pPr>
        <w:spacing w:after="60"/>
      </w:pPr>
      <w:r>
        <w:rPr>
          <w:color w:val="282C34"/>
          <w:sz w:val="20"/>
          <w:szCs w:val="20"/>
        </w:rPr>
        <w:t xml:space="preserve">• Confirm the spelling and pronunciation of your name, credentials, title, and affiliation, and share any accessibility needs before the event.</w:t>
      </w:r>
    </w:p>
    <w:p>
      <w:pPr>
        <w:spacing w:after="60"/>
      </w:pPr>
      <w:r>
        <w:rPr>
          <w:color w:val="282C34"/>
          <w:sz w:val="20"/>
          <w:szCs w:val="20"/>
        </w:rPr>
        <w:t xml:space="preserve">• No slides are planned. If a visual or handout is essential, obtain approval in advance.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2026-09-23T11:52:28.182Z</dcterms:created>
  <dcterms:modified xsi:type="dcterms:W3CDTF">2026-09-23T11:52:28.182Z</dcterms:modified>
</cp:coreProperties>
</file>

<file path=docProps/custom.xml><?xml version="1.0" encoding="utf-8"?>
<Properties xmlns="http://schemas.openxmlformats.org/officeDocument/2006/custom-properties" xmlns:vt="http://schemas.openxmlformats.org/officeDocument/2006/docPropsVTypes"/>
</file>