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drawing>
          <wp:inline distT="0" distB="0" distL="0" distR="0">
            <wp:extent cx="914400" cy="914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left"/>
      </w:pPr>
      <w:r>
        <w:rPr>
          <w:b/>
          <w:bCs/>
          <w:color w:val="8C1626"/>
          <w:sz w:val="40"/>
          <w:szCs w:val="40"/>
        </w:rPr>
        <w:t xml:space="preserve">RUN OF SHOW</w:t>
      </w:r>
    </w:p>
    <w:p>
      <w:r>
        <w:rPr>
          <w:color w:val="69707D"/>
          <w:sz w:val="20"/>
          <w:szCs w:val="20"/>
        </w:rPr>
        <w:t xml:space="preserve">13th Annual National HBCU Pre-Law Summit &amp; Law Expo · September 24–27, 2026 · Raleigh–Durham, North Carolina</w:t>
      </w:r>
    </w:p>
    <w:p>
      <w:pPr>
        <w:spacing w:after="240" w:before="120"/>
      </w:pPr>
      <w:r>
        <w:rPr>
          <w:i/>
          <w:iCs/>
          <w:color w:val="69707D"/>
          <w:sz w:val="18"/>
          <w:szCs w:val="18"/>
        </w:rPr>
        <w:t xml:space="preserve">Internal Participant Run of Show Documents for the 2026 Summit. These replace all earlier versions — all timings are subject to change prior to the event, so always check this page for the latest version before your session.</w:t>
      </w:r>
    </w:p>
    <w:p>
      <w:pPr>
        <w:pStyle w:val="Heading2"/>
        <w:spacing w:after="80"/>
      </w:pPr>
      <w:r>
        <w:rPr>
          <w:b/>
          <w:bCs/>
          <w:color w:val="0F2040"/>
          <w:sz w:val="30"/>
          <w:szCs w:val="30"/>
        </w:rPr>
        <w:t xml:space="preserve">Mock Law School Admissions Committee Exercise</w:t>
      </w:r>
    </w:p>
    <w:p>
      <w:pPr>
        <w:spacing w:after="160"/>
      </w:pPr>
      <w:r>
        <w:rPr>
          <w:color w:val="69707D"/>
          <w:sz w:val="20"/>
          <w:szCs w:val="20"/>
        </w:rPr>
        <w:t xml:space="preserve">Day 2 · Friday · Friday, September 25, 2026 · 5:30 – 6:30 PM EDT · NCCU Student Center | Second Floor | Event Hall · 500 Nelson Street, Durham, NC 27707 · Live educational simulation using seven fictional applicant files; no slides · All registered attendees · 60 minutes</w:t>
      </w:r>
    </w:p>
    <w:p>
      <w:pPr>
        <w:spacing w:after="60"/>
      </w:pPr>
      <w:r>
        <w:rPr>
          <w:color w:val="282C34"/>
          <w:sz w:val="20"/>
          <w:szCs w:val="20"/>
        </w:rPr>
        <w:t xml:space="preserve">Inside the Admissions Room: See How Admissions Decisions Are Really Made</w:t>
      </w:r>
    </w:p>
    <w:p>
      <w:pPr>
        <w:spacing w:after="120" w:before="240"/>
      </w:pPr>
      <w:r>
        <w:rPr>
          <w:b/>
          <w:bCs/>
          <w:color w:val="0F2040"/>
          <w:sz w:val="22"/>
          <w:szCs w:val="22"/>
        </w:rPr>
        <w:t xml:space="preserve">KEY DETAILS</w:t>
      </w:r>
    </w:p>
    <w:p>
      <w:pPr>
        <w:spacing w:after="60"/>
      </w:pPr>
      <w:r>
        <w:rPr>
          <w:color w:val="282C34"/>
          <w:sz w:val="20"/>
          <w:szCs w:val="20"/>
        </w:rPr>
        <w:t xml:space="preserve">Session purpose: Experienced admissions and student-affairs professionals review fictional applicant files, test assumptions, debate competing strengths and concerns, and reach decisions in real time — a practical view of holistic review without disclosing any school's confidential process.</w:t>
      </w:r>
    </w:p>
    <w:p>
      <w:pPr>
        <w:spacing w:after="60"/>
      </w:pPr>
      <w:r>
        <w:rPr>
          <w:color w:val="282C34"/>
          <w:sz w:val="20"/>
          <w:szCs w:val="20"/>
        </w:rPr>
        <w:t xml:space="preserve">Preparation: Moderators preassign two or three lead reviewers for each fictional file. Reviewers should study the common framework and be ready to explain how evidence across the full file affects judgment.</w:t>
      </w:r>
    </w:p>
    <w:p>
      <w:pPr>
        <w:spacing w:after="120" w:before="240"/>
      </w:pPr>
      <w:r>
        <w:rPr>
          <w:b/>
          <w:bCs/>
          <w:color w:val="0F2040"/>
          <w:sz w:val="22"/>
          <w:szCs w:val="22"/>
        </w:rPr>
        <w:t xml:space="preserve">PARTICIPANTS</w:t>
      </w:r>
    </w:p>
    <w:p>
      <w:pPr>
        <w:spacing w:after="60"/>
      </w:pPr>
      <w:r>
        <w:rPr>
          <w:color w:val="282C34"/>
          <w:sz w:val="20"/>
          <w:szCs w:val="20"/>
        </w:rPr>
        <w:t xml:space="preserve">Bianca Mack, J.D., M.B.A. — Featured Panelist — Associate Dean for Student Affairs, University of North Carolina School of Law</w:t>
      </w:r>
    </w:p>
    <w:p>
      <w:pPr>
        <w:spacing w:after="60"/>
      </w:pPr>
      <w:r>
        <w:rPr>
          <w:color w:val="282C34"/>
          <w:sz w:val="20"/>
          <w:szCs w:val="20"/>
        </w:rPr>
        <w:t xml:space="preserve">Jeremy Whatley, MLS — Featured Panelist — Associate Director of Admissions, Indiana University Maurer School of Law</w:t>
      </w:r>
    </w:p>
    <w:p>
      <w:pPr>
        <w:spacing w:after="60"/>
      </w:pPr>
      <w:r>
        <w:rPr>
          <w:color w:val="282C34"/>
          <w:sz w:val="20"/>
          <w:szCs w:val="20"/>
        </w:rPr>
        <w:t xml:space="preserve">Kelsey Holland, Ed.D., JM, MPA — Featured Panelist — Admissions and Recruitment, Florida A&amp;M University College of Law</w:t>
      </w:r>
    </w:p>
    <w:p>
      <w:pPr>
        <w:spacing w:after="60"/>
      </w:pPr>
      <w:r>
        <w:rPr>
          <w:color w:val="282C34"/>
          <w:sz w:val="20"/>
          <w:szCs w:val="20"/>
        </w:rPr>
        <w:t xml:space="preserve">Mark Hill, MSEd — Featured Panelist — Assistant Dean for Admissions, Duke University School of Law</w:t>
      </w:r>
    </w:p>
    <w:p>
      <w:pPr>
        <w:spacing w:after="60"/>
      </w:pPr>
      <w:r>
        <w:rPr>
          <w:color w:val="282C34"/>
          <w:sz w:val="20"/>
          <w:szCs w:val="20"/>
        </w:rPr>
        <w:t xml:space="preserve">Tyonna (Ty) Brent, J.D. — Featured Panelist — Director of Admissions, Loyola Law School (Los Angeles)</w:t>
      </w:r>
    </w:p>
    <w:p>
      <w:pPr>
        <w:spacing w:after="60"/>
      </w:pPr>
      <w:r>
        <w:rPr>
          <w:color w:val="282C34"/>
          <w:sz w:val="20"/>
          <w:szCs w:val="20"/>
        </w:rPr>
        <w:t xml:space="preserve">Katrina Alleyne — Featured Panelist — Director of Admissions Operations, Albany Law School</w:t>
      </w:r>
    </w:p>
    <w:p>
      <w:pPr>
        <w:spacing w:after="60"/>
      </w:pPr>
      <w:r>
        <w:rPr>
          <w:color w:val="282C34"/>
          <w:sz w:val="20"/>
          <w:szCs w:val="20"/>
        </w:rPr>
        <w:t xml:space="preserve">Caprice Wright, M.A. — Featured Panelist — Interim Associate Dean of Admissions, Thurgood Marshall School of Law, Texas Southern University</w:t>
      </w:r>
    </w:p>
    <w:p>
      <w:pPr>
        <w:spacing w:after="60"/>
      </w:pPr>
      <w:r>
        <w:rPr>
          <w:color w:val="282C34"/>
          <w:sz w:val="20"/>
          <w:szCs w:val="20"/>
        </w:rPr>
        <w:t xml:space="preserve">Sharon N. Gaskin, Esq. — Co-Moderator — Associate Dean of Admissions &amp; Financial Assistance, NCCU School of Law</w:t>
      </w:r>
    </w:p>
    <w:p>
      <w:pPr>
        <w:spacing w:after="60"/>
      </w:pPr>
      <w:r>
        <w:rPr>
          <w:color w:val="282C34"/>
          <w:sz w:val="20"/>
          <w:szCs w:val="20"/>
        </w:rPr>
        <w:t xml:space="preserve">Rishawnda Archie, M.S. — Co-Moderator — Assistant Director for J.D. Admissions and Recruitment, Wayne State University Law School</w:t>
      </w:r>
    </w:p>
    <w:p>
      <w:pPr>
        <w:spacing w:after="120" w:before="240"/>
      </w:pPr>
      <w:r>
        <w:rPr>
          <w:b/>
          <w:bCs/>
          <w:color w:val="0F2040"/>
          <w:sz w:val="22"/>
          <w:szCs w:val="22"/>
        </w:rPr>
        <w:t xml:space="preserve">PRE-SHOW &amp; CALL TIMES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0"/>
        <w:gridCol w:w="7200"/>
      </w:tblGrid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5:00 PM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Speaker check-in</w:t>
            </w:r>
          </w:p>
          <w:p>
            <w:r>
              <w:rPr>
                <w:color w:val="282C34"/>
                <w:sz w:val="18"/>
                <w:szCs w:val="18"/>
              </w:rPr>
              <w:t xml:space="preserve">The Law Expo ends at 5:00 PM, so this is the earliest we can gather. Check in on the second floor and ask to be escorted to the Senate Room.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5:05 PM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Closed group briefing</w:t>
            </w:r>
          </w:p>
          <w:p>
            <w:r>
              <w:rPr>
                <w:color w:val="282C34"/>
                <w:sz w:val="18"/>
                <w:szCs w:val="18"/>
              </w:rPr>
              <w:t xml:space="preserve">Review the common criteria, file order, lead-reviewer assignments, speaking rotation, and available outcomes.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5:20 PM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Final readiness check</w:t>
            </w:r>
          </w:p>
          <w:p>
            <w:r>
              <w:rPr>
                <w:color w:val="282C34"/>
                <w:sz w:val="18"/>
                <w:szCs w:val="18"/>
              </w:rPr>
              <w:t xml:space="preserve">Take assigned seats, confirm materials and microphones, and be ready for the 5:30 PM start.</w:t>
            </w:r>
          </w:p>
        </w:tc>
      </w:tr>
    </w:tbl>
    <w:p>
      <w:pPr>
        <w:spacing w:after="120" w:before="240"/>
      </w:pPr>
      <w:r>
        <w:rPr>
          <w:b/>
          <w:bCs/>
          <w:color w:val="0F2040"/>
          <w:sz w:val="22"/>
          <w:szCs w:val="22"/>
        </w:rPr>
        <w:t xml:space="preserve">PROGRAM RUN OF SHOW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0"/>
        <w:gridCol w:w="7200"/>
      </w:tblGrid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5:30 – 5:33</w:t>
            </w:r>
          </w:p>
          <w:p>
            <w:r>
              <w:rPr>
                <w:color w:val="8C1626"/>
                <w:sz w:val="16"/>
                <w:szCs w:val="16"/>
              </w:rPr>
              <w:t xml:space="preserve">3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Welcome and disclaimer (Sharon)</w:t>
            </w:r>
          </w:p>
          <w:p>
            <w:r>
              <w:rPr>
                <w:color w:val="282C34"/>
                <w:sz w:val="18"/>
                <w:szCs w:val="18"/>
              </w:rPr>
              <w:t xml:space="preserve">All files are fictional; the exercise is educational and does not reveal any school's confidential process.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5:33 – 5:37</w:t>
            </w:r>
          </w:p>
          <w:p>
            <w:r>
              <w:rPr>
                <w:color w:val="8C1626"/>
                <w:sz w:val="16"/>
                <w:szCs w:val="16"/>
              </w:rPr>
              <w:t xml:space="preserve">4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Introductions (Rishawnda)</w:t>
            </w:r>
          </w:p>
          <w:p>
            <w:r>
              <w:rPr>
                <w:color w:val="282C34"/>
                <w:sz w:val="18"/>
                <w:szCs w:val="18"/>
              </w:rPr>
              <w:t xml:space="preserve">One sentence each: name, institution, role, and admissions lens.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5:37 – 5:41</w:t>
            </w:r>
          </w:p>
          <w:p>
            <w:r>
              <w:rPr>
                <w:color w:val="8C1626"/>
                <w:sz w:val="16"/>
                <w:szCs w:val="16"/>
              </w:rPr>
              <w:t xml:space="preserve">4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Review framework (Sharon)</w:t>
            </w:r>
          </w:p>
          <w:p>
            <w:r>
              <w:rPr>
                <w:color w:val="282C34"/>
                <w:sz w:val="18"/>
                <w:szCs w:val="18"/>
              </w:rPr>
              <w:t xml:space="preserve">Explain common criteria and available outcomes: admit, waitlist, or deny.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5:41 – 6:02</w:t>
            </w:r>
          </w:p>
          <w:p>
            <w:r>
              <w:rPr>
                <w:color w:val="8C1626"/>
                <w:sz w:val="16"/>
                <w:szCs w:val="16"/>
              </w:rPr>
              <w:t xml:space="preserve">21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Seven applicant files (both moderators)</w:t>
            </w:r>
          </w:p>
          <w:p>
            <w:r>
              <w:rPr>
                <w:color w:val="282C34"/>
                <w:sz w:val="18"/>
                <w:szCs w:val="18"/>
              </w:rPr>
              <w:t xml:space="preserve">Three minutes per file: summary, lead-reviewer reactions, distinct additions, provisional vote.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6:02 – 6:14</w:t>
            </w:r>
          </w:p>
          <w:p>
            <w:r>
              <w:rPr>
                <w:color w:val="8C1626"/>
                <w:sz w:val="16"/>
                <w:szCs w:val="16"/>
              </w:rPr>
              <w:t xml:space="preserve">12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Committee deliberation (Sharon)</w:t>
            </w:r>
          </w:p>
          <w:p>
            <w:r>
              <w:rPr>
                <w:color w:val="282C34"/>
                <w:sz w:val="18"/>
                <w:szCs w:val="18"/>
              </w:rPr>
              <w:t xml:space="preserve">Revisit close calls, test reasoning, and announce the committee's final outcome for every file.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6:14 – 6:21</w:t>
            </w:r>
          </w:p>
          <w:p>
            <w:r>
              <w:rPr>
                <w:color w:val="8C1626"/>
                <w:sz w:val="16"/>
                <w:szCs w:val="16"/>
              </w:rPr>
              <w:t xml:space="preserve">7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Lessons and myths (Rishawnda)</w:t>
            </w:r>
          </w:p>
          <w:p>
            <w:r>
              <w:rPr>
                <w:color w:val="282C34"/>
                <w:sz w:val="18"/>
                <w:szCs w:val="18"/>
              </w:rPr>
              <w:t xml:space="preserve">Identify credibility gaps, strong application moves, and common misconceptions.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6:21 – 6:27</w:t>
            </w:r>
          </w:p>
          <w:p>
            <w:r>
              <w:rPr>
                <w:color w:val="8C1626"/>
                <w:sz w:val="16"/>
                <w:szCs w:val="16"/>
              </w:rPr>
              <w:t xml:space="preserve">6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Curated audience questions (both)</w:t>
            </w:r>
          </w:p>
          <w:p>
            <w:r>
              <w:rPr>
                <w:color w:val="282C34"/>
                <w:sz w:val="18"/>
                <w:szCs w:val="18"/>
              </w:rPr>
              <w:t xml:space="preserve">Prioritize broad instructional value; avoid school-specific admission predictions.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6:27 – 6:30</w:t>
            </w:r>
          </w:p>
          <w:p>
            <w:r>
              <w:rPr>
                <w:color w:val="8C1626"/>
                <w:sz w:val="16"/>
                <w:szCs w:val="16"/>
              </w:rPr>
              <w:t xml:space="preserve">3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Final takeaway and close (Sharon)</w:t>
            </w:r>
          </w:p>
          <w:p>
            <w:r>
              <w:rPr>
                <w:color w:val="282C34"/>
                <w:sz w:val="18"/>
                <w:szCs w:val="18"/>
              </w:rPr>
              <w:t xml:space="preserve">Each moderator offers one action attendees can take before submitting.</w:t>
            </w:r>
          </w:p>
        </w:tc>
      </w:tr>
    </w:tbl>
    <w:p>
      <w:pPr>
        <w:spacing w:after="120" w:before="240"/>
      </w:pPr>
      <w:r>
        <w:rPr>
          <w:b/>
          <w:bCs/>
          <w:color w:val="0F2040"/>
          <w:sz w:val="22"/>
          <w:szCs w:val="22"/>
        </w:rPr>
        <w:t xml:space="preserve">PRODUCTION &amp; SPEAKER NOTES</w:t>
      </w:r>
    </w:p>
    <w:p>
      <w:pPr>
        <w:spacing w:after="60"/>
      </w:pPr>
      <w:r>
        <w:rPr>
          <w:color w:val="282C34"/>
          <w:sz w:val="20"/>
          <w:szCs w:val="20"/>
        </w:rPr>
        <w:t xml:space="preserve">• Two or three lead reviewers are assigned to each fictional file. Other reviewers should speak only when adding a materially different point.</w:t>
      </w:r>
    </w:p>
    <w:p>
      <w:pPr>
        <w:spacing w:after="60"/>
      </w:pPr>
      <w:r>
        <w:rPr>
          <w:color w:val="282C34"/>
          <w:sz w:val="20"/>
          <w:szCs w:val="20"/>
        </w:rPr>
        <w:t xml:space="preserve">• The committee's outcome distribution is not predetermined — final admit, waitlist, and deny totals follow the discussion and votes.</w:t>
      </w:r>
    </w:p>
    <w:p>
      <w:pPr>
        <w:spacing w:after="60"/>
      </w:pPr>
      <w:r>
        <w:rPr>
          <w:color w:val="282C34"/>
          <w:sz w:val="20"/>
          <w:szCs w:val="20"/>
        </w:rPr>
        <w:t xml:space="preserve">• Reference only the fictional facts provided; avoid describing identifiable real applicants or confidential institutional deliberations.</w:t>
      </w:r>
    </w:p>
    <w:p>
      <w:pPr>
        <w:spacing w:after="60"/>
      </w:pPr>
      <w:r>
        <w:rPr>
          <w:color w:val="282C34"/>
          <w:sz w:val="20"/>
          <w:szCs w:val="20"/>
        </w:rPr>
        <w:t xml:space="preserve">• Disagreement is welcome; explain the evidence and judgment behind a different conclusion without characterizing another reviewer's decision as wrong.</w:t>
      </w:r>
    </w:p>
    <w:p>
      <w:pPr>
        <w:spacing w:after="60"/>
      </w:pPr>
      <w:r>
        <w:rPr>
          <w:color w:val="282C34"/>
          <w:sz w:val="20"/>
          <w:szCs w:val="20"/>
        </w:rPr>
        <w:t xml:space="preserve">• Please help protect the published 6:30 PM hard stop by following moderator time cues.</w:t>
      </w:r>
    </w:p>
    <w:p>
      <w:pPr>
        <w:spacing w:after="60"/>
      </w:pPr>
      <w:r>
        <w:rPr>
          <w:color w:val="282C34"/>
          <w:sz w:val="20"/>
          <w:szCs w:val="20"/>
        </w:rPr>
        <w:t xml:space="preserve">• Opening responses should generally stay within 60–75 seconds; follow-ups within 30–45 seconds.</w:t>
      </w:r>
    </w:p>
    <w:p>
      <w:pPr>
        <w:spacing w:after="60"/>
      </w:pPr>
      <w:r>
        <w:rPr>
          <w:color w:val="282C34"/>
          <w:sz w:val="20"/>
          <w:szCs w:val="20"/>
        </w:rPr>
        <w:t xml:space="preserve">• Moderators may direct a question to selected speakers; panelists should add only a distinct point rather than repeat an answer.</w:t>
      </w:r>
    </w:p>
    <w:p>
      <w:pPr>
        <w:spacing w:after="60"/>
      </w:pPr>
      <w:r>
        <w:rPr>
          <w:color w:val="282C34"/>
          <w:sz w:val="20"/>
          <w:szCs w:val="20"/>
        </w:rPr>
        <w:t xml:space="preserve">• Audience questions will be curated from submitted cards or a monitored form. There will be no unscreened open microphone unless the format specifically calls for interactive Q&amp;A.</w:t>
      </w:r>
    </w:p>
    <w:p>
      <w:pPr>
        <w:spacing w:after="60"/>
      </w:pPr>
      <w:r>
        <w:rPr>
          <w:color w:val="282C34"/>
          <w:sz w:val="20"/>
          <w:szCs w:val="20"/>
        </w:rPr>
        <w:t xml:space="preserve">• Confirm the spelling and pronunciation of your name, credentials, title, and affiliation, and share any accessibility needs before the event.</w:t>
      </w:r>
    </w:p>
    <w:p>
      <w:pPr>
        <w:spacing w:after="60"/>
      </w:pPr>
      <w:r>
        <w:rPr>
          <w:color w:val="282C34"/>
          <w:sz w:val="20"/>
          <w:szCs w:val="20"/>
        </w:rPr>
        <w:t xml:space="preserve">• No slides are planned. If a visual or handout is essential, obtain approval in advance.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e4246016ab41b0e305b1908e910abe34253c0b8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2026-09-23T11:52:29.414Z</dcterms:created>
  <dcterms:modified xsi:type="dcterms:W3CDTF">2026-09-23T11:52:29.414Z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