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jc w:val="center"/>
      </w:pPr>
      <w:r>
        <w:drawing>
          <wp:inline xmlns:a="http://schemas.openxmlformats.org/drawingml/2006/main" xmlns:pic="http://schemas.openxmlformats.org/drawingml/2006/picture">
            <wp:extent cx="3886200" cy="1294135"/>
            <wp:docPr id="1" name="Picture 1"/>
            <wp:cNvGraphicFramePr>
              <a:graphicFrameLocks noChangeAspect="1"/>
            </wp:cNvGraphicFramePr>
            <a:graphic>
              <a:graphicData uri="http://schemas.openxmlformats.org/drawingml/2006/picture">
                <pic:pic>
                  <pic:nvPicPr>
                    <pic:cNvPr id="0" name="Logo - HBCU Pre-Law Summit Long Version (1)(2).png"/>
                    <pic:cNvPicPr/>
                  </pic:nvPicPr>
                  <pic:blipFill>
                    <a:blip r:embed="rId11"/>
                    <a:stretch>
                      <a:fillRect/>
                    </a:stretch>
                  </pic:blipFill>
                  <pic:spPr>
                    <a:xfrm>
                      <a:off x="0" y="0"/>
                      <a:ext cx="3886200" cy="1294135"/>
                    </a:xfrm>
                    <a:prstGeom prst="rect"/>
                  </pic:spPr>
                </pic:pic>
              </a:graphicData>
            </a:graphic>
          </wp:inline>
        </w:drawing>
      </w:r>
    </w:p>
    <w:p>
      <w:pPr>
        <w:spacing w:after="60"/>
        <w:jc w:val="center"/>
      </w:pPr>
      <w:r>
        <w:rPr>
          <w:rFonts w:ascii="Aptos" w:hAnsi="Aptos"/>
          <w:b/>
          <w:color w:val="972A2D"/>
          <w:sz w:val="18"/>
        </w:rPr>
        <w:t>13TH ANNUAL NATIONAL HBCU PRE-LAW SUMMIT &amp; LAW EXPO</w:t>
      </w:r>
    </w:p>
    <w:p>
      <w:pPr>
        <w:spacing w:after="80"/>
        <w:jc w:val="center"/>
      </w:pPr>
      <w:r>
        <w:rPr>
          <w:rFonts w:ascii="Aptos" w:hAnsi="Aptos"/>
          <w:b/>
          <w:color w:val="972A2D"/>
          <w:sz w:val="18"/>
        </w:rPr>
        <w:t>STUDENT AUDIENCE EXERCISE</w:t>
      </w:r>
    </w:p>
    <w:p>
      <w:pPr>
        <w:spacing w:after="60"/>
        <w:jc w:val="center"/>
      </w:pPr>
      <w:r>
        <w:rPr>
          <w:rFonts w:ascii="Aptos" w:hAnsi="Aptos"/>
          <w:b/>
          <w:color w:val="302A72"/>
          <w:sz w:val="46"/>
        </w:rPr>
        <w:t>INSIDE THE ADMISSIONS ROOM</w:t>
      </w:r>
    </w:p>
    <w:p>
      <w:pPr>
        <w:spacing w:after="160"/>
        <w:jc w:val="center"/>
        <w:pBdr>
          <w:bottom w:val="single" w:sz="8" w:space="1" w:color="972A2D"/>
        </w:pBdr>
      </w:pPr>
      <w:r>
        <w:rPr>
          <w:rFonts w:ascii="Aptos" w:hAnsi="Aptos"/>
          <w:b/>
          <w:color w:val="972A2D"/>
          <w:sz w:val="25"/>
        </w:rPr>
        <w:t>A Live Mock Law School Admissions Committee Meeting</w:t>
      </w:r>
    </w:p>
    <w:tbl>
      <w:tblPr>
        <w:tblW w:type="dxa" w:w="9880"/>
        <w:jc w:val="left"/>
        <w:tblLayout w:type="fixed"/>
        <w:tblLook w:firstColumn="1" w:firstRow="1" w:lastColumn="0" w:lastRow="0" w:noHBand="0" w:noVBand="1" w:val="04A0"/>
        <w:tblInd w:w="0" w:type="dxa"/>
      </w:tblPr>
      <w:tblGrid>
        <w:gridCol w:w="2380"/>
        <w:gridCol w:w="1800"/>
        <w:gridCol w:w="3500"/>
        <w:gridCol w:w="2200"/>
      </w:tblGrid>
      <w:tr>
        <w:tc>
          <w:tcPr>
            <w:tcW w:type="dxa" w:w="2380"/>
            <w:tcMar>
              <w:top w:w="75" w:type="dxa"/>
              <w:start w:w="80" w:type="dxa"/>
              <w:bottom w:w="75" w:type="dxa"/>
              <w:end w:w="80" w:type="dxa"/>
            </w:tcMar>
            <w:vAlign w:val="center"/>
            <w:shd w:fill="302A72"/>
            <w:tcBorders>
              <w:top w:val="single" w:sz="4" w:color="CDD0DA"/>
              <w:bottom w:val="single" w:sz="4" w:color="CDD0DA"/>
              <w:start w:val="single" w:sz="4" w:color="CDD0DA"/>
              <w:end w:val="single" w:sz="4" w:color="CDD0DA"/>
            </w:tcBorders>
          </w:tcPr>
          <w:p>
            <w:pPr>
              <w:spacing w:after="0"/>
              <w:jc w:val="center"/>
            </w:pPr>
            <w:r>
              <w:rPr>
                <w:rFonts w:ascii="Aptos" w:hAnsi="Aptos"/>
                <w:b/>
                <w:color w:val="FFFFFF"/>
                <w:sz w:val="15"/>
              </w:rPr>
              <w:t>DATE</w:t>
            </w:r>
          </w:p>
        </w:tc>
        <w:tc>
          <w:tcPr>
            <w:tcW w:type="dxa" w:w="1800"/>
            <w:tcMar>
              <w:top w:w="75" w:type="dxa"/>
              <w:start w:w="80" w:type="dxa"/>
              <w:bottom w:w="75" w:type="dxa"/>
              <w:end w:w="80" w:type="dxa"/>
            </w:tcMar>
            <w:vAlign w:val="center"/>
            <w:shd w:fill="302A72"/>
            <w:tcBorders>
              <w:top w:val="single" w:sz="4" w:color="CDD0DA"/>
              <w:bottom w:val="single" w:sz="4" w:color="CDD0DA"/>
              <w:start w:val="single" w:sz="4" w:color="CDD0DA"/>
              <w:end w:val="single" w:sz="4" w:color="CDD0DA"/>
            </w:tcBorders>
          </w:tcPr>
          <w:p>
            <w:pPr>
              <w:spacing w:after="0"/>
              <w:jc w:val="center"/>
            </w:pPr>
            <w:r>
              <w:rPr>
                <w:rFonts w:ascii="Aptos" w:hAnsi="Aptos"/>
                <w:b/>
                <w:color w:val="FFFFFF"/>
                <w:sz w:val="15"/>
              </w:rPr>
              <w:t>TIME</w:t>
            </w:r>
          </w:p>
        </w:tc>
        <w:tc>
          <w:tcPr>
            <w:tcW w:type="dxa" w:w="3500"/>
            <w:tcMar>
              <w:top w:w="75" w:type="dxa"/>
              <w:start w:w="80" w:type="dxa"/>
              <w:bottom w:w="75" w:type="dxa"/>
              <w:end w:w="80" w:type="dxa"/>
            </w:tcMar>
            <w:vAlign w:val="center"/>
            <w:shd w:fill="302A72"/>
            <w:tcBorders>
              <w:top w:val="single" w:sz="4" w:color="CDD0DA"/>
              <w:bottom w:val="single" w:sz="4" w:color="CDD0DA"/>
              <w:start w:val="single" w:sz="4" w:color="CDD0DA"/>
              <w:end w:val="single" w:sz="4" w:color="CDD0DA"/>
            </w:tcBorders>
          </w:tcPr>
          <w:p>
            <w:pPr>
              <w:spacing w:after="0"/>
              <w:jc w:val="center"/>
            </w:pPr>
            <w:r>
              <w:rPr>
                <w:rFonts w:ascii="Aptos" w:hAnsi="Aptos"/>
                <w:b/>
                <w:color w:val="FFFFFF"/>
                <w:sz w:val="15"/>
              </w:rPr>
              <w:t>LOCATION</w:t>
            </w:r>
          </w:p>
        </w:tc>
        <w:tc>
          <w:tcPr>
            <w:tcW w:type="dxa" w:w="2200"/>
            <w:tcMar>
              <w:top w:w="75" w:type="dxa"/>
              <w:start w:w="80" w:type="dxa"/>
              <w:bottom w:w="75" w:type="dxa"/>
              <w:end w:w="80" w:type="dxa"/>
            </w:tcMar>
            <w:vAlign w:val="center"/>
            <w:shd w:fill="302A72"/>
            <w:tcBorders>
              <w:top w:val="single" w:sz="4" w:color="CDD0DA"/>
              <w:bottom w:val="single" w:sz="4" w:color="CDD0DA"/>
              <w:start w:val="single" w:sz="4" w:color="CDD0DA"/>
              <w:end w:val="single" w:sz="4" w:color="CDD0DA"/>
            </w:tcBorders>
          </w:tcPr>
          <w:p>
            <w:pPr>
              <w:spacing w:after="0"/>
              <w:jc w:val="center"/>
            </w:pPr>
            <w:r>
              <w:rPr>
                <w:rFonts w:ascii="Aptos" w:hAnsi="Aptos"/>
                <w:b/>
                <w:color w:val="FFFFFF"/>
                <w:sz w:val="15"/>
              </w:rPr>
              <w:t>FORMAT</w:t>
            </w:r>
          </w:p>
        </w:tc>
      </w:tr>
      <w:tr>
        <w:tc>
          <w:tcPr>
            <w:tcW w:type="dxa" w:w="2380"/>
            <w:tcMar>
              <w:top w:w="75" w:type="dxa"/>
              <w:start w:w="80" w:type="dxa"/>
              <w:bottom w:w="75" w:type="dxa"/>
              <w:end w:w="80" w:type="dxa"/>
            </w:tcMar>
            <w:vAlign w:val="center"/>
            <w:shd w:fill="F5F6F8"/>
            <w:tcBorders>
              <w:top w:val="single" w:sz="4" w:color="CDD0DA"/>
              <w:bottom w:val="single" w:sz="4" w:color="CDD0DA"/>
              <w:start w:val="single" w:sz="4" w:color="CDD0DA"/>
              <w:end w:val="single" w:sz="4" w:color="CDD0DA"/>
            </w:tcBorders>
          </w:tcPr>
          <w:p>
            <w:pPr>
              <w:spacing w:after="0"/>
              <w:jc w:val="center"/>
            </w:pPr>
            <w:r>
              <w:rPr>
                <w:rFonts w:ascii="Aptos" w:hAnsi="Aptos"/>
                <w:b/>
                <w:color w:val="20222A"/>
                <w:sz w:val="16"/>
              </w:rPr>
              <w:t>Friday, September 25, 2026</w:t>
            </w:r>
          </w:p>
        </w:tc>
        <w:tc>
          <w:tcPr>
            <w:tcW w:type="dxa" w:w="1800"/>
            <w:tcMar>
              <w:top w:w="75" w:type="dxa"/>
              <w:start w:w="80" w:type="dxa"/>
              <w:bottom w:w="75" w:type="dxa"/>
              <w:end w:w="80" w:type="dxa"/>
            </w:tcMar>
            <w:vAlign w:val="center"/>
            <w:shd w:fill="FFFFFF"/>
            <w:tcBorders>
              <w:top w:val="single" w:sz="4" w:color="CDD0DA"/>
              <w:bottom w:val="single" w:sz="4" w:color="CDD0DA"/>
              <w:start w:val="single" w:sz="4" w:color="CDD0DA"/>
              <w:end w:val="single" w:sz="4" w:color="CDD0DA"/>
            </w:tcBorders>
          </w:tcPr>
          <w:p>
            <w:pPr>
              <w:spacing w:after="0"/>
              <w:jc w:val="center"/>
            </w:pPr>
            <w:r>
              <w:rPr>
                <w:rFonts w:ascii="Aptos" w:hAnsi="Aptos"/>
                <w:b/>
                <w:color w:val="20222A"/>
                <w:sz w:val="16"/>
              </w:rPr>
              <w:t>5:30-6:30 PM EDT</w:t>
            </w:r>
          </w:p>
        </w:tc>
        <w:tc>
          <w:tcPr>
            <w:tcW w:type="dxa" w:w="3500"/>
            <w:tcMar>
              <w:top w:w="75" w:type="dxa"/>
              <w:start w:w="80" w:type="dxa"/>
              <w:bottom w:w="75" w:type="dxa"/>
              <w:end w:w="80" w:type="dxa"/>
            </w:tcMar>
            <w:vAlign w:val="center"/>
            <w:shd w:fill="F5F6F8"/>
            <w:tcBorders>
              <w:top w:val="single" w:sz="4" w:color="CDD0DA"/>
              <w:bottom w:val="single" w:sz="4" w:color="CDD0DA"/>
              <w:start w:val="single" w:sz="4" w:color="CDD0DA"/>
              <w:end w:val="single" w:sz="4" w:color="CDD0DA"/>
            </w:tcBorders>
          </w:tcPr>
          <w:p>
            <w:pPr>
              <w:spacing w:after="0"/>
              <w:jc w:val="center"/>
            </w:pPr>
            <w:r>
              <w:rPr>
                <w:rFonts w:ascii="Aptos" w:hAnsi="Aptos"/>
                <w:b w:val="0"/>
                <w:color w:val="20222A"/>
                <w:sz w:val="16"/>
              </w:rPr>
              <w:t>NCCU Student Center | Event Hall</w:t>
            </w:r>
          </w:p>
        </w:tc>
        <w:tc>
          <w:tcPr>
            <w:tcW w:type="dxa" w:w="2200"/>
            <w:tcMar>
              <w:top w:w="75" w:type="dxa"/>
              <w:start w:w="80" w:type="dxa"/>
              <w:bottom w:w="75" w:type="dxa"/>
              <w:end w:w="80" w:type="dxa"/>
            </w:tcMar>
            <w:vAlign w:val="center"/>
            <w:shd w:fill="FFFFFF"/>
            <w:tcBorders>
              <w:top w:val="single" w:sz="4" w:color="CDD0DA"/>
              <w:bottom w:val="single" w:sz="4" w:color="CDD0DA"/>
              <w:start w:val="single" w:sz="4" w:color="CDD0DA"/>
              <w:end w:val="single" w:sz="4" w:color="CDD0DA"/>
            </w:tcBorders>
          </w:tcPr>
          <w:p>
            <w:pPr>
              <w:spacing w:after="0"/>
              <w:jc w:val="center"/>
            </w:pPr>
            <w:r>
              <w:rPr>
                <w:rFonts w:ascii="Aptos" w:hAnsi="Aptos"/>
                <w:b w:val="0"/>
                <w:color w:val="20222A"/>
                <w:sz w:val="16"/>
              </w:rPr>
              <w:t>Live mock committee</w:t>
            </w:r>
          </w:p>
        </w:tc>
      </w:tr>
    </w:tbl>
    <w:p>
      <w:pPr>
        <w:pStyle w:val="Heading1"/>
      </w:pPr>
      <w:r>
        <w:t>Welcome to the Committee</w:t>
      </w:r>
    </w:p>
    <w:p>
      <w:pPr>
        <w:keepLines/>
      </w:pPr>
      <w:r>
        <w:t>You will watch seven experienced law school admissions professionals review seven fictional applicant files and decide whether each applicant should be admitted, waitlisted, or denied. Follow along, form your own judgment, and record the evidence supporting your decision before the committee announces its final outcome.</w:t>
      </w:r>
    </w:p>
    <w:tbl>
      <w:tblPr>
        <w:tblW w:type="dxa" w:w="9880"/>
        <w:jc w:val="left"/>
        <w:tblLayout w:type="fixed"/>
        <w:tblLook w:firstColumn="1" w:firstRow="1" w:lastColumn="0" w:lastRow="0" w:noHBand="0" w:noVBand="1" w:val="04A0"/>
        <w:tblInd w:w="0" w:type="dxa"/>
      </w:tblPr>
      <w:tblGrid>
        <w:gridCol w:w="9880"/>
      </w:tblGrid>
      <w:tr>
        <w:tc>
          <w:tcPr>
            <w:tcW w:type="dxa" w:w="9880"/>
            <w:tcMar>
              <w:top w:w="100" w:type="dxa"/>
              <w:start w:w="160" w:type="dxa"/>
              <w:bottom w:w="100" w:type="dxa"/>
              <w:end w:w="160" w:type="dxa"/>
            </w:tcMar>
            <w:vAlign w:val="center"/>
            <w:shd w:fill="EFF0F8"/>
            <w:tcBorders>
              <w:start w:val="single" w:sz="18" w:color="972A2D"/>
              <w:top w:val="single" w:sz="4" w:color="CDD0DA"/>
              <w:bottom w:val="single" w:sz="4" w:color="CDD0DA"/>
              <w:end w:val="single" w:sz="4" w:color="CDD0DA"/>
            </w:tcBorders>
          </w:tcPr>
          <w:p>
            <w:pPr>
              <w:spacing w:after="0"/>
            </w:pPr>
            <w:r>
              <w:rPr>
                <w:rFonts w:ascii="Aptos" w:hAnsi="Aptos"/>
                <w:b/>
                <w:color w:val="972A2D"/>
                <w:sz w:val="18"/>
              </w:rPr>
              <w:t xml:space="preserve">IMPORTANT: </w:t>
            </w:r>
            <w:r>
              <w:rPr>
                <w:rFonts w:ascii="Aptos" w:hAnsi="Aptos"/>
                <w:color w:val="20222A"/>
                <w:sz w:val="18"/>
              </w:rPr>
              <w:t>All applicants, institutions, employers, recommenders, and circumstances in this packet are fictional. The exercise illustrates holistic review generally and does not represent any school's confidential admissions process.</w:t>
            </w:r>
          </w:p>
        </w:tc>
      </w:tr>
    </w:tbl>
    <w:p>
      <w:pPr>
        <w:pStyle w:val="Heading2"/>
      </w:pPr>
      <w:r>
        <w:t>How to Evaluate Each File</w:t>
      </w:r>
    </w:p>
    <w:p>
      <w:pPr>
        <w:pStyle w:val="ListBullet"/>
        <w:keepLines/>
      </w:pPr>
      <w:r>
        <w:t>Read the entire record before deciding. Numbers matter, but they do not tell the complete story.</w:t>
      </w:r>
    </w:p>
    <w:p>
      <w:pPr>
        <w:pStyle w:val="ListBullet"/>
        <w:keepLines/>
      </w:pPr>
      <w:r>
        <w:t>Identify the strongest evidence of readiness and the concern that is hardest to overcome.</w:t>
      </w:r>
    </w:p>
    <w:p>
      <w:pPr>
        <w:pStyle w:val="ListBullet"/>
        <w:keepLines/>
      </w:pPr>
      <w:r>
        <w:t>Consider whether the personal statement, resume, recommendations, addenda, and school-specific materials reinforce one another.</w:t>
      </w:r>
    </w:p>
    <w:p>
      <w:pPr>
        <w:pStyle w:val="ListBullet"/>
        <w:keepLines/>
      </w:pPr>
      <w:r>
        <w:t>Base your judgment only on the fictional facts provided. Reasonable reviewers may disagree; every decision should be supported by evidence from the file.</w:t>
      </w:r>
    </w:p>
    <w:p>
      <w:pPr>
        <w:pStyle w:val="ListBullet"/>
        <w:keepLines/>
      </w:pPr>
      <w:r>
        <w:t>For character-and-fitness matters, disclosure requirements vary by school and jurisdiction. Applicants must answer the exact questions asked and seek current guidance from the appropriate institution or licensing authority.</w:t>
      </w:r>
    </w:p>
    <w:p>
      <w:pPr>
        <w:pStyle w:val="Heading2"/>
      </w:pPr>
      <w:r>
        <w:t>Your Task for Every Applicant</w:t>
      </w:r>
    </w:p>
    <w:p>
      <w:pPr>
        <w:pStyle w:val="ListBullet"/>
        <w:keepLines/>
      </w:pPr>
      <w:r>
        <w:t>Choose Admit, Waitlist, or Deny.</w:t>
      </w:r>
    </w:p>
    <w:p>
      <w:pPr>
        <w:pStyle w:val="ListBullet"/>
        <w:keepLines/>
      </w:pPr>
      <w:r>
        <w:t>Record the strongest factor, greatest concern, and one change that would most improve the application.</w:t>
      </w:r>
    </w:p>
    <w:p>
      <w:pPr>
        <w:pStyle w:val="ListBullet"/>
        <w:keepLines/>
      </w:pPr>
      <w:r>
        <w:t>Listen for evidence or reasoning that changes your initial view during the committee discussion.</w:t>
      </w:r>
    </w:p>
    <w:p>
      <w:r>
        <w:br w:type="page"/>
      </w:r>
    </w:p>
    <w:tbl>
      <w:tblPr>
        <w:tblW w:type="dxa" w:w="9880"/>
        <w:jc w:val="left"/>
        <w:tblLayout w:type="fixed"/>
        <w:tblLook w:firstColumn="1" w:firstRow="1" w:lastColumn="0" w:lastRow="0" w:noHBand="0" w:noVBand="1" w:val="04A0"/>
        <w:tblInd w:w="0" w:type="dxa"/>
      </w:tblPr>
      <w:tblGrid>
        <w:gridCol w:w="800"/>
        <w:gridCol w:w="9080"/>
      </w:tblGrid>
      <w:tr>
        <w:tc>
          <w:tcPr>
            <w:tcW w:type="dxa" w:w="800"/>
            <w:tcMar>
              <w:top w:w="20" w:type="dxa"/>
              <w:start w:w="40" w:type="dxa"/>
              <w:bottom w:w="20" w:type="dxa"/>
              <w:end w:w="40" w:type="dxa"/>
            </w:tcMar>
            <w:vAlign w:val="center"/>
            <w:tcBorders>
              <w:bottom w:val="single" w:sz="8" w:color="972A2D"/>
              <w:top w:val="nil"/>
              <w:start w:val="nil"/>
              <w:end w:val="nil"/>
            </w:tcBorders>
          </w:tcPr>
          <w:p>
            <w:r>
              <w:drawing>
                <wp:inline xmlns:a="http://schemas.openxmlformats.org/drawingml/2006/main" xmlns:pic="http://schemas.openxmlformats.org/drawingml/2006/picture">
                  <wp:extent cx="384048" cy="384048"/>
                  <wp:docPr id="2" name="Picture 2"/>
                  <wp:cNvGraphicFramePr>
                    <a:graphicFrameLocks noChangeAspect="1"/>
                  </wp:cNvGraphicFramePr>
                  <a:graphic>
                    <a:graphicData uri="http://schemas.openxmlformats.org/drawingml/2006/picture">
                      <pic:pic>
                        <pic:nvPicPr>
                          <pic:cNvPr id="0" name="Logo - HBCU Pre-Law Summit Circular(6).jpg"/>
                          <pic:cNvPicPr/>
                        </pic:nvPicPr>
                        <pic:blipFill>
                          <a:blip r:embed="rId12"/>
                          <a:stretch>
                            <a:fillRect/>
                          </a:stretch>
                        </pic:blipFill>
                        <pic:spPr>
                          <a:xfrm>
                            <a:off x="0" y="0"/>
                            <a:ext cx="384048" cy="384048"/>
                          </a:xfrm>
                          <a:prstGeom prst="rect"/>
                        </pic:spPr>
                      </pic:pic>
                    </a:graphicData>
                  </a:graphic>
                </wp:inline>
              </w:drawing>
            </w:r>
          </w:p>
        </w:tc>
        <w:tc>
          <w:tcPr>
            <w:tcW w:type="dxa" w:w="9080"/>
            <w:tcMar>
              <w:top w:w="20" w:type="dxa"/>
              <w:start w:w="40" w:type="dxa"/>
              <w:bottom w:w="20" w:type="dxa"/>
              <w:end w:w="40" w:type="dxa"/>
            </w:tcMar>
            <w:vAlign w:val="center"/>
            <w:tcBorders>
              <w:bottom w:val="single" w:sz="8" w:color="972A2D"/>
              <w:top w:val="nil"/>
              <w:start w:val="nil"/>
              <w:end w:val="nil"/>
            </w:tcBorders>
          </w:tcPr>
          <w:p>
            <w:pPr>
              <w:spacing w:before="20" w:after="20"/>
            </w:pPr>
            <w:r>
              <w:rPr>
                <w:rFonts w:ascii="Aptos" w:hAnsi="Aptos"/>
                <w:b/>
                <w:color w:val="302A72"/>
                <w:sz w:val="18"/>
              </w:rPr>
              <w:t>INSIDE THE ADMISSIONS ROOM</w:t>
            </w:r>
            <w:r>
              <w:br/>
            </w:r>
            <w:r>
              <w:rPr>
                <w:rFonts w:ascii="Aptos" w:hAnsi="Aptos"/>
                <w:b/>
                <w:color w:val="972A2D"/>
                <w:sz w:val="16"/>
              </w:rPr>
              <w:t>STUDENT AUDIENCE EXERCISE</w:t>
            </w:r>
          </w:p>
        </w:tc>
      </w:tr>
    </w:tbl>
    <w:p>
      <w:pPr>
        <w:spacing w:before="100" w:after="20"/>
      </w:pPr>
      <w:r>
        <w:rPr>
          <w:rFonts w:ascii="Aptos" w:hAnsi="Aptos"/>
          <w:b/>
          <w:color w:val="302A72"/>
          <w:sz w:val="32"/>
        </w:rPr>
        <w:t>APPLICANT FILE A: MAYA THOMPSON</w:t>
      </w:r>
    </w:p>
    <w:p>
      <w:pPr>
        <w:spacing w:after="80"/>
      </w:pPr>
      <w:r>
        <w:rPr>
          <w:rFonts w:ascii="Aptos" w:hAnsi="Aptos"/>
          <w:i/>
          <w:color w:val="5C6270"/>
          <w:sz w:val="18"/>
        </w:rPr>
        <w:t>Fictional applicant for educational discussion only.</w:t>
      </w:r>
    </w:p>
    <w:tbl>
      <w:tblPr>
        <w:tblW w:type="dxa" w:w="9880"/>
        <w:jc w:val="left"/>
        <w:tblLayout w:type="fixed"/>
        <w:tblLook w:firstColumn="1" w:firstRow="1" w:lastColumn="0" w:lastRow="0" w:noHBand="0" w:noVBand="1" w:val="04A0"/>
        <w:tblInd w:w="0" w:type="dxa"/>
      </w:tblPr>
      <w:tblGrid>
        <w:gridCol w:w="2200"/>
        <w:gridCol w:w="7680"/>
      </w:tblGrid>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Age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22</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Undergraduate Institution</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Langston State University, a fictional public HBCU</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Major</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Political Science; minor in Data Analytics</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Academic Record</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3.82 cumulative; 3.91 major; no significant grade decline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Test Record</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161 LSAT</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Applicant Status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College senior applying in October</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Transcript &amp; Academic Context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Completed honors seminars, statistics, constitutional law, and a writing-intensive senior thesis. Earned one C+ in calculus during the first semester and mostly A/A- work thereafter.</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Employment &amp; Experience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Twenty hours per week as a residence-hall desk assistant; summer intern with the city public defender; two semesters as a research assistant.</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Leadership &amp; Service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Student Government Association vice president; voter-protection volunteer; peer mentor for first-generation students.</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Personal Statement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Opens with helping her grandmother contest an improper housing eviction notice, then connects that experience to data-driven housing advocacy. The essay is specific, restrained, and clearly explains why legal training is necessary for her goals.</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Resume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Polished, chronological, accomplishment-focused, and free of errors.</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Recommendations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Two detailed letters: a professor describes exceptional analytical writing and intellectual curiosity; the public defender describes judgment, reliability, and respectful client interaction.</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Addendum</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Brief optional statement explains the first-semester C+ and transition to college without overemphasizing it.</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Character &amp; Fitness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None.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Demonstrated Interest &amp; Fit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School-specific supplemental essay identifies a housing clinic, local externships, and a faculty center; shows informed interest without flattery.</w:t>
            </w:r>
          </w:p>
        </w:tc>
      </w:tr>
    </w:tbl>
    <w:p>
      <w:pPr>
        <w:spacing w:after="20"/>
      </w:pPr>
    </w:p>
    <w:tbl>
      <w:tblPr>
        <w:tblW w:type="dxa" w:w="9880"/>
        <w:jc w:val="left"/>
        <w:tblLayout w:type="fixed"/>
        <w:tblLook w:firstColumn="1" w:firstRow="1" w:lastColumn="0" w:lastRow="0" w:noHBand="0" w:noVBand="1" w:val="04A0"/>
        <w:tblInd w:w="0" w:type="dxa"/>
      </w:tblPr>
      <w:tblGrid>
        <w:gridCol w:w="9880"/>
      </w:tblGrid>
      <w:tr>
        <w:tc>
          <w:tcPr>
            <w:tcW w:type="dxa" w:w="9880"/>
            <w:tcMar>
              <w:top w:w="58" w:type="dxa"/>
              <w:start w:w="130" w:type="dxa"/>
              <w:bottom w:w="58" w:type="dxa"/>
              <w:end w:w="130" w:type="dxa"/>
            </w:tcMar>
            <w:vAlign w:val="center"/>
            <w:shd w:fill="FBF8F3"/>
            <w:tcBorders>
              <w:top w:val="single" w:sz="4" w:color="CDD0DA"/>
              <w:bottom w:val="single" w:sz="4" w:color="CDD0DA"/>
              <w:start w:val="single" w:sz="4" w:color="CDD0DA"/>
              <w:end w:val="single" w:sz="4" w:color="CDD0DA"/>
            </w:tcBorders>
          </w:tcPr>
          <w:p>
            <w:pPr>
              <w:spacing w:after="0"/>
            </w:pPr>
            <w:r>
              <w:rPr>
                <w:rFonts w:ascii="Aptos" w:hAnsi="Aptos"/>
                <w:b/>
                <w:color w:val="972A2D"/>
                <w:sz w:val="16"/>
              </w:rPr>
              <w:t>MY DECISION:    ADMIT    /    WAITLIST    /    DENY</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Strongest factor:</w:t>
            </w:r>
            <w:r>
              <w:t xml:space="preserve">  ______________________________________________________________</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Greatest concern:</w:t>
            </w:r>
            <w:r>
              <w:t xml:space="preserve">  ______________________________________________________________</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One change that would most improve the application:</w:t>
            </w:r>
            <w:r>
              <w:t xml:space="preserve">  ______________________________________________________________</w:t>
            </w:r>
          </w:p>
        </w:tc>
      </w:tr>
    </w:tbl>
    <w:p>
      <w:r>
        <w:br w:type="page"/>
      </w:r>
    </w:p>
    <w:tbl>
      <w:tblPr>
        <w:tblW w:type="dxa" w:w="9880"/>
        <w:jc w:val="left"/>
        <w:tblLayout w:type="fixed"/>
        <w:tblLook w:firstColumn="1" w:firstRow="1" w:lastColumn="0" w:lastRow="0" w:noHBand="0" w:noVBand="1" w:val="04A0"/>
        <w:tblInd w:w="0" w:type="dxa"/>
      </w:tblPr>
      <w:tblGrid>
        <w:gridCol w:w="800"/>
        <w:gridCol w:w="9080"/>
      </w:tblGrid>
      <w:tr>
        <w:tc>
          <w:tcPr>
            <w:tcW w:type="dxa" w:w="800"/>
            <w:tcMar>
              <w:top w:w="20" w:type="dxa"/>
              <w:start w:w="40" w:type="dxa"/>
              <w:bottom w:w="20" w:type="dxa"/>
              <w:end w:w="40" w:type="dxa"/>
            </w:tcMar>
            <w:vAlign w:val="center"/>
            <w:tcBorders>
              <w:bottom w:val="single" w:sz="8" w:color="972A2D"/>
              <w:top w:val="nil"/>
              <w:start w:val="nil"/>
              <w:end w:val="nil"/>
            </w:tcBorders>
          </w:tcPr>
          <w:p>
            <w:r>
              <w:drawing>
                <wp:inline xmlns:a="http://schemas.openxmlformats.org/drawingml/2006/main" xmlns:pic="http://schemas.openxmlformats.org/drawingml/2006/picture">
                  <wp:extent cx="384048" cy="384048"/>
                  <wp:docPr id="3" name="Picture 3"/>
                  <wp:cNvGraphicFramePr>
                    <a:graphicFrameLocks noChangeAspect="1"/>
                  </wp:cNvGraphicFramePr>
                  <a:graphic>
                    <a:graphicData uri="http://schemas.openxmlformats.org/drawingml/2006/picture">
                      <pic:pic>
                        <pic:nvPicPr>
                          <pic:cNvPr id="0" name="Logo - HBCU Pre-Law Summit Circular(6).jpg"/>
                          <pic:cNvPicPr/>
                        </pic:nvPicPr>
                        <pic:blipFill>
                          <a:blip r:embed="rId12"/>
                          <a:stretch>
                            <a:fillRect/>
                          </a:stretch>
                        </pic:blipFill>
                        <pic:spPr>
                          <a:xfrm>
                            <a:off x="0" y="0"/>
                            <a:ext cx="384048" cy="384048"/>
                          </a:xfrm>
                          <a:prstGeom prst="rect"/>
                        </pic:spPr>
                      </pic:pic>
                    </a:graphicData>
                  </a:graphic>
                </wp:inline>
              </w:drawing>
            </w:r>
          </w:p>
        </w:tc>
        <w:tc>
          <w:tcPr>
            <w:tcW w:type="dxa" w:w="9080"/>
            <w:tcMar>
              <w:top w:w="20" w:type="dxa"/>
              <w:start w:w="40" w:type="dxa"/>
              <w:bottom w:w="20" w:type="dxa"/>
              <w:end w:w="40" w:type="dxa"/>
            </w:tcMar>
            <w:vAlign w:val="center"/>
            <w:tcBorders>
              <w:bottom w:val="single" w:sz="8" w:color="972A2D"/>
              <w:top w:val="nil"/>
              <w:start w:val="nil"/>
              <w:end w:val="nil"/>
            </w:tcBorders>
          </w:tcPr>
          <w:p>
            <w:pPr>
              <w:spacing w:before="20" w:after="20"/>
            </w:pPr>
            <w:r>
              <w:rPr>
                <w:rFonts w:ascii="Aptos" w:hAnsi="Aptos"/>
                <w:b/>
                <w:color w:val="302A72"/>
                <w:sz w:val="18"/>
              </w:rPr>
              <w:t>INSIDE THE ADMISSIONS ROOM</w:t>
            </w:r>
            <w:r>
              <w:br/>
            </w:r>
            <w:r>
              <w:rPr>
                <w:rFonts w:ascii="Aptos" w:hAnsi="Aptos"/>
                <w:b/>
                <w:color w:val="972A2D"/>
                <w:sz w:val="16"/>
              </w:rPr>
              <w:t>STUDENT AUDIENCE EXERCISE</w:t>
            </w:r>
          </w:p>
        </w:tc>
      </w:tr>
    </w:tbl>
    <w:p>
      <w:pPr>
        <w:spacing w:before="100" w:after="20"/>
      </w:pPr>
      <w:r>
        <w:rPr>
          <w:rFonts w:ascii="Aptos" w:hAnsi="Aptos"/>
          <w:b/>
          <w:color w:val="302A72"/>
          <w:sz w:val="32"/>
        </w:rPr>
        <w:t>APPLICANT FILE B: DARIUS COLEMAN</w:t>
      </w:r>
    </w:p>
    <w:p>
      <w:pPr>
        <w:spacing w:after="80"/>
      </w:pPr>
      <w:r>
        <w:rPr>
          <w:rFonts w:ascii="Aptos" w:hAnsi="Aptos"/>
          <w:i/>
          <w:color w:val="5C6270"/>
          <w:sz w:val="18"/>
        </w:rPr>
        <w:t>Fictional applicant for educational discussion only.</w:t>
      </w:r>
    </w:p>
    <w:tbl>
      <w:tblPr>
        <w:tblW w:type="dxa" w:w="9880"/>
        <w:jc w:val="left"/>
        <w:tblLayout w:type="fixed"/>
        <w:tblLook w:firstColumn="1" w:firstRow="1" w:lastColumn="0" w:lastRow="0" w:noHBand="0" w:noVBand="1" w:val="04A0"/>
        <w:tblInd w:w="0" w:type="dxa"/>
      </w:tblPr>
      <w:tblGrid>
        <w:gridCol w:w="2200"/>
        <w:gridCol w:w="7680"/>
      </w:tblGrid>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Age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31</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Undergraduate Institution</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Metropolitan University, a fictional regional public university</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Major</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Business Administration</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Academic Record</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3.18 cumulative; final 60 credits 3.72</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Test Record</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158 LSAT</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Applicant Status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Career changer; graduated eight years ago</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Transcript &amp; Academic Context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First two years include several C grades and one academic-probation semester. After returning from a one-year stop-out, completed the final five semesters with mostly A and B+ work while employed full time.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Employment &amp; Experience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Eight years in banking compliance; promoted twice; currently supervises six employees and leads internal-investigations training.</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Leadership &amp; Service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Volunteer tax-preparation coordinator; mentors formerly incarcerated adults seeking employment.</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Personal Statement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Describes discovering the gap between formal compliance and meaningful access while reviewing account closures. Explains a goal of consumer-protection and financial-regulation practice. Mature, reflective, and grounded in sustained experience.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Resume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Strong progression and measurable results, but slightly dense at three pages.</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Recommendations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Current vice president provides specific examples of leadership and ethics; former professor recalls major improvement and classroom engagement but taught him six years ago.</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Addendum</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Directly explains early academic problems: worked overnight shifts, lacked structure, and temporarily withdrew. Takes responsibility and supports change with later grades and career performance.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Character &amp; Fitness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One traffic-related misdemeanor for driving with a suspended license at age 20; fully disclosed with certified disposition and concise explanation.</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Demonstrated Interest &amp; Fit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Explains how an evening clinic and business-law concentration align with current responsibilities and goals.</w:t>
            </w:r>
          </w:p>
        </w:tc>
      </w:tr>
    </w:tbl>
    <w:p>
      <w:pPr>
        <w:spacing w:after="20"/>
      </w:pPr>
    </w:p>
    <w:tbl>
      <w:tblPr>
        <w:tblW w:type="dxa" w:w="9880"/>
        <w:jc w:val="left"/>
        <w:tblLayout w:type="fixed"/>
        <w:tblLook w:firstColumn="1" w:firstRow="1" w:lastColumn="0" w:lastRow="0" w:noHBand="0" w:noVBand="1" w:val="04A0"/>
        <w:tblInd w:w="0" w:type="dxa"/>
      </w:tblPr>
      <w:tblGrid>
        <w:gridCol w:w="9880"/>
      </w:tblGrid>
      <w:tr>
        <w:tc>
          <w:tcPr>
            <w:tcW w:type="dxa" w:w="9880"/>
            <w:tcMar>
              <w:top w:w="58" w:type="dxa"/>
              <w:start w:w="130" w:type="dxa"/>
              <w:bottom w:w="58" w:type="dxa"/>
              <w:end w:w="130" w:type="dxa"/>
            </w:tcMar>
            <w:vAlign w:val="center"/>
            <w:shd w:fill="FBF8F3"/>
            <w:tcBorders>
              <w:top w:val="single" w:sz="4" w:color="CDD0DA"/>
              <w:bottom w:val="single" w:sz="4" w:color="CDD0DA"/>
              <w:start w:val="single" w:sz="4" w:color="CDD0DA"/>
              <w:end w:val="single" w:sz="4" w:color="CDD0DA"/>
            </w:tcBorders>
          </w:tcPr>
          <w:p>
            <w:pPr>
              <w:spacing w:after="0"/>
            </w:pPr>
            <w:r>
              <w:rPr>
                <w:rFonts w:ascii="Aptos" w:hAnsi="Aptos"/>
                <w:b/>
                <w:color w:val="972A2D"/>
                <w:sz w:val="16"/>
              </w:rPr>
              <w:t>MY DECISION:    ADMIT    /    WAITLIST    /    DENY</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Strongest factor:</w:t>
            </w:r>
            <w:r>
              <w:t xml:space="preserve">  ______________________________________________________________</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Greatest concern:</w:t>
            </w:r>
            <w:r>
              <w:t xml:space="preserve">  ______________________________________________________________</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One change that would most improve the application:</w:t>
            </w:r>
            <w:r>
              <w:t xml:space="preserve">  ______________________________________________________________</w:t>
            </w:r>
          </w:p>
        </w:tc>
      </w:tr>
    </w:tbl>
    <w:p>
      <w:r>
        <w:br w:type="page"/>
      </w:r>
    </w:p>
    <w:tbl>
      <w:tblPr>
        <w:tblW w:type="dxa" w:w="9880"/>
        <w:jc w:val="left"/>
        <w:tblLayout w:type="fixed"/>
        <w:tblLook w:firstColumn="1" w:firstRow="1" w:lastColumn="0" w:lastRow="0" w:noHBand="0" w:noVBand="1" w:val="04A0"/>
        <w:tblInd w:w="0" w:type="dxa"/>
      </w:tblPr>
      <w:tblGrid>
        <w:gridCol w:w="800"/>
        <w:gridCol w:w="9080"/>
      </w:tblGrid>
      <w:tr>
        <w:tc>
          <w:tcPr>
            <w:tcW w:type="dxa" w:w="800"/>
            <w:tcMar>
              <w:top w:w="20" w:type="dxa"/>
              <w:start w:w="40" w:type="dxa"/>
              <w:bottom w:w="20" w:type="dxa"/>
              <w:end w:w="40" w:type="dxa"/>
            </w:tcMar>
            <w:vAlign w:val="center"/>
            <w:tcBorders>
              <w:bottom w:val="single" w:sz="8" w:color="972A2D"/>
              <w:top w:val="nil"/>
              <w:start w:val="nil"/>
              <w:end w:val="nil"/>
            </w:tcBorders>
          </w:tcPr>
          <w:p>
            <w:r>
              <w:drawing>
                <wp:inline xmlns:a="http://schemas.openxmlformats.org/drawingml/2006/main" xmlns:pic="http://schemas.openxmlformats.org/drawingml/2006/picture">
                  <wp:extent cx="384048" cy="384048"/>
                  <wp:docPr id="4" name="Picture 4"/>
                  <wp:cNvGraphicFramePr>
                    <a:graphicFrameLocks noChangeAspect="1"/>
                  </wp:cNvGraphicFramePr>
                  <a:graphic>
                    <a:graphicData uri="http://schemas.openxmlformats.org/drawingml/2006/picture">
                      <pic:pic>
                        <pic:nvPicPr>
                          <pic:cNvPr id="0" name="Logo - HBCU Pre-Law Summit Circular(6).jpg"/>
                          <pic:cNvPicPr/>
                        </pic:nvPicPr>
                        <pic:blipFill>
                          <a:blip r:embed="rId12"/>
                          <a:stretch>
                            <a:fillRect/>
                          </a:stretch>
                        </pic:blipFill>
                        <pic:spPr>
                          <a:xfrm>
                            <a:off x="0" y="0"/>
                            <a:ext cx="384048" cy="384048"/>
                          </a:xfrm>
                          <a:prstGeom prst="rect"/>
                        </pic:spPr>
                      </pic:pic>
                    </a:graphicData>
                  </a:graphic>
                </wp:inline>
              </w:drawing>
            </w:r>
          </w:p>
        </w:tc>
        <w:tc>
          <w:tcPr>
            <w:tcW w:type="dxa" w:w="9080"/>
            <w:tcMar>
              <w:top w:w="20" w:type="dxa"/>
              <w:start w:w="40" w:type="dxa"/>
              <w:bottom w:w="20" w:type="dxa"/>
              <w:end w:w="40" w:type="dxa"/>
            </w:tcMar>
            <w:vAlign w:val="center"/>
            <w:tcBorders>
              <w:bottom w:val="single" w:sz="8" w:color="972A2D"/>
              <w:top w:val="nil"/>
              <w:start w:val="nil"/>
              <w:end w:val="nil"/>
            </w:tcBorders>
          </w:tcPr>
          <w:p>
            <w:pPr>
              <w:spacing w:before="20" w:after="20"/>
            </w:pPr>
            <w:r>
              <w:rPr>
                <w:rFonts w:ascii="Aptos" w:hAnsi="Aptos"/>
                <w:b/>
                <w:color w:val="302A72"/>
                <w:sz w:val="18"/>
              </w:rPr>
              <w:t>INSIDE THE ADMISSIONS ROOM</w:t>
            </w:r>
            <w:r>
              <w:br/>
            </w:r>
            <w:r>
              <w:rPr>
                <w:rFonts w:ascii="Aptos" w:hAnsi="Aptos"/>
                <w:b/>
                <w:color w:val="972A2D"/>
                <w:sz w:val="16"/>
              </w:rPr>
              <w:t>STUDENT AUDIENCE EXERCISE</w:t>
            </w:r>
          </w:p>
        </w:tc>
      </w:tr>
    </w:tbl>
    <w:p>
      <w:pPr>
        <w:spacing w:before="100" w:after="20"/>
      </w:pPr>
      <w:r>
        <w:rPr>
          <w:rFonts w:ascii="Aptos" w:hAnsi="Aptos"/>
          <w:b/>
          <w:color w:val="302A72"/>
          <w:sz w:val="32"/>
        </w:rPr>
        <w:t>APPLICANT FILE C: JORDAN ELLIS</w:t>
      </w:r>
    </w:p>
    <w:p>
      <w:pPr>
        <w:spacing w:after="80"/>
      </w:pPr>
      <w:r>
        <w:rPr>
          <w:rFonts w:ascii="Aptos" w:hAnsi="Aptos"/>
          <w:i/>
          <w:color w:val="5C6270"/>
          <w:sz w:val="18"/>
        </w:rPr>
        <w:t>Fictional applicant for educational discussion only.</w:t>
      </w:r>
    </w:p>
    <w:tbl>
      <w:tblPr>
        <w:tblW w:type="dxa" w:w="9880"/>
        <w:jc w:val="left"/>
        <w:tblLayout w:type="fixed"/>
        <w:tblLook w:firstColumn="1" w:firstRow="1" w:lastColumn="0" w:lastRow="0" w:noHBand="0" w:noVBand="1" w:val="04A0"/>
        <w:tblInd w:w="0" w:type="dxa"/>
      </w:tblPr>
      <w:tblGrid>
        <w:gridCol w:w="2200"/>
        <w:gridCol w:w="7680"/>
      </w:tblGrid>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Age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21</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Undergraduate Institution</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Atlantic Private College, a fictional selective PWI</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Major</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Economics</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Academic Record</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3.68 cumulative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Test Record</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166 LSAT</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Applicant Status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College senior applying in late January</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Transcript &amp; Academic Context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Consistent grades with rigorous quantitative coursework. Two pass/fail electives during a semester abroad. No significant academic weakness.</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Employment &amp; Experience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Two summer internships: one at a commercial bank and one in a congressional district office.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Leadership &amp; Service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Member of pre-law society; occasional food-bank volunteer; limited sustained leadership.</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Personal Statement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Competently discusses enjoying debate and wanting to make a difference. The essay is grammatically strong but generic and could be sent to almost any professional school.</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Resume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Clean but task-focused; provides few outcomes or examples of initiative.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Recommendations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One very positive economics professor letter; one short letter from a prominent elected official who appears to know the applicant only minimally.</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Addendum</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None needed.</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Character &amp; Fitness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None.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Demonstrated Interest &amp; Fit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Why-this-law-school essay praises reputation, location, and alumni success but names the wrong law school in the final paragraph.</w:t>
            </w:r>
          </w:p>
        </w:tc>
      </w:tr>
    </w:tbl>
    <w:p>
      <w:pPr>
        <w:spacing w:after="20"/>
      </w:pPr>
    </w:p>
    <w:tbl>
      <w:tblPr>
        <w:tblW w:type="dxa" w:w="9880"/>
        <w:jc w:val="left"/>
        <w:tblLayout w:type="fixed"/>
        <w:tblLook w:firstColumn="1" w:firstRow="1" w:lastColumn="0" w:lastRow="0" w:noHBand="0" w:noVBand="1" w:val="04A0"/>
        <w:tblInd w:w="0" w:type="dxa"/>
      </w:tblPr>
      <w:tblGrid>
        <w:gridCol w:w="9880"/>
      </w:tblGrid>
      <w:tr>
        <w:tc>
          <w:tcPr>
            <w:tcW w:type="dxa" w:w="9880"/>
            <w:tcMar>
              <w:top w:w="58" w:type="dxa"/>
              <w:start w:w="130" w:type="dxa"/>
              <w:bottom w:w="58" w:type="dxa"/>
              <w:end w:w="130" w:type="dxa"/>
            </w:tcMar>
            <w:vAlign w:val="center"/>
            <w:shd w:fill="FBF8F3"/>
            <w:tcBorders>
              <w:top w:val="single" w:sz="4" w:color="CDD0DA"/>
              <w:bottom w:val="single" w:sz="4" w:color="CDD0DA"/>
              <w:start w:val="single" w:sz="4" w:color="CDD0DA"/>
              <w:end w:val="single" w:sz="4" w:color="CDD0DA"/>
            </w:tcBorders>
          </w:tcPr>
          <w:p>
            <w:pPr>
              <w:spacing w:after="0"/>
            </w:pPr>
            <w:r>
              <w:rPr>
                <w:rFonts w:ascii="Aptos" w:hAnsi="Aptos"/>
                <w:b/>
                <w:color w:val="972A2D"/>
                <w:sz w:val="16"/>
              </w:rPr>
              <w:t>MY DECISION:    ADMIT    /    WAITLIST    /    DENY</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Strongest factor:</w:t>
            </w:r>
            <w:r>
              <w:t xml:space="preserve">  ______________________________________________________________</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Greatest concern:</w:t>
            </w:r>
            <w:r>
              <w:t xml:space="preserve">  ______________________________________________________________</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One change that would most improve the application:</w:t>
            </w:r>
            <w:r>
              <w:t xml:space="preserve">  ______________________________________________________________</w:t>
            </w:r>
          </w:p>
        </w:tc>
      </w:tr>
    </w:tbl>
    <w:p>
      <w:r>
        <w:br w:type="page"/>
      </w:r>
    </w:p>
    <w:tbl>
      <w:tblPr>
        <w:tblW w:type="dxa" w:w="9880"/>
        <w:jc w:val="left"/>
        <w:tblLayout w:type="fixed"/>
        <w:tblLook w:firstColumn="1" w:firstRow="1" w:lastColumn="0" w:lastRow="0" w:noHBand="0" w:noVBand="1" w:val="04A0"/>
        <w:tblInd w:w="0" w:type="dxa"/>
      </w:tblPr>
      <w:tblGrid>
        <w:gridCol w:w="800"/>
        <w:gridCol w:w="9080"/>
      </w:tblGrid>
      <w:tr>
        <w:tc>
          <w:tcPr>
            <w:tcW w:type="dxa" w:w="800"/>
            <w:tcMar>
              <w:top w:w="20" w:type="dxa"/>
              <w:start w:w="40" w:type="dxa"/>
              <w:bottom w:w="20" w:type="dxa"/>
              <w:end w:w="40" w:type="dxa"/>
            </w:tcMar>
            <w:vAlign w:val="center"/>
            <w:tcBorders>
              <w:bottom w:val="single" w:sz="8" w:color="972A2D"/>
              <w:top w:val="nil"/>
              <w:start w:val="nil"/>
              <w:end w:val="nil"/>
            </w:tcBorders>
          </w:tcPr>
          <w:p>
            <w:r>
              <w:drawing>
                <wp:inline xmlns:a="http://schemas.openxmlformats.org/drawingml/2006/main" xmlns:pic="http://schemas.openxmlformats.org/drawingml/2006/picture">
                  <wp:extent cx="384048" cy="384048"/>
                  <wp:docPr id="5" name="Picture 5"/>
                  <wp:cNvGraphicFramePr>
                    <a:graphicFrameLocks noChangeAspect="1"/>
                  </wp:cNvGraphicFramePr>
                  <a:graphic>
                    <a:graphicData uri="http://schemas.openxmlformats.org/drawingml/2006/picture">
                      <pic:pic>
                        <pic:nvPicPr>
                          <pic:cNvPr id="0" name="Logo - HBCU Pre-Law Summit Circular(6).jpg"/>
                          <pic:cNvPicPr/>
                        </pic:nvPicPr>
                        <pic:blipFill>
                          <a:blip r:embed="rId12"/>
                          <a:stretch>
                            <a:fillRect/>
                          </a:stretch>
                        </pic:blipFill>
                        <pic:spPr>
                          <a:xfrm>
                            <a:off x="0" y="0"/>
                            <a:ext cx="384048" cy="384048"/>
                          </a:xfrm>
                          <a:prstGeom prst="rect"/>
                        </pic:spPr>
                      </pic:pic>
                    </a:graphicData>
                  </a:graphic>
                </wp:inline>
              </w:drawing>
            </w:r>
          </w:p>
        </w:tc>
        <w:tc>
          <w:tcPr>
            <w:tcW w:type="dxa" w:w="9080"/>
            <w:tcMar>
              <w:top w:w="20" w:type="dxa"/>
              <w:start w:w="40" w:type="dxa"/>
              <w:bottom w:w="20" w:type="dxa"/>
              <w:end w:w="40" w:type="dxa"/>
            </w:tcMar>
            <w:vAlign w:val="center"/>
            <w:tcBorders>
              <w:bottom w:val="single" w:sz="8" w:color="972A2D"/>
              <w:top w:val="nil"/>
              <w:start w:val="nil"/>
              <w:end w:val="nil"/>
            </w:tcBorders>
          </w:tcPr>
          <w:p>
            <w:pPr>
              <w:spacing w:before="20" w:after="20"/>
            </w:pPr>
            <w:r>
              <w:rPr>
                <w:rFonts w:ascii="Aptos" w:hAnsi="Aptos"/>
                <w:b/>
                <w:color w:val="302A72"/>
                <w:sz w:val="18"/>
              </w:rPr>
              <w:t>INSIDE THE ADMISSIONS ROOM</w:t>
            </w:r>
            <w:r>
              <w:br/>
            </w:r>
            <w:r>
              <w:rPr>
                <w:rFonts w:ascii="Aptos" w:hAnsi="Aptos"/>
                <w:b/>
                <w:color w:val="972A2D"/>
                <w:sz w:val="16"/>
              </w:rPr>
              <w:t>STUDENT AUDIENCE EXERCISE</w:t>
            </w:r>
          </w:p>
        </w:tc>
      </w:tr>
    </w:tbl>
    <w:p>
      <w:pPr>
        <w:spacing w:before="100" w:after="20"/>
      </w:pPr>
      <w:r>
        <w:rPr>
          <w:rFonts w:ascii="Aptos" w:hAnsi="Aptos"/>
          <w:b/>
          <w:color w:val="302A72"/>
          <w:sz w:val="32"/>
        </w:rPr>
        <w:t>APPLICANT FILE D: AALIYAH BROOKS</w:t>
      </w:r>
    </w:p>
    <w:p>
      <w:pPr>
        <w:spacing w:after="80"/>
      </w:pPr>
      <w:r>
        <w:rPr>
          <w:rFonts w:ascii="Aptos" w:hAnsi="Aptos"/>
          <w:i/>
          <w:color w:val="5C6270"/>
          <w:sz w:val="18"/>
        </w:rPr>
        <w:t>Fictional applicant for educational discussion only.</w:t>
      </w:r>
    </w:p>
    <w:tbl>
      <w:tblPr>
        <w:tblW w:type="dxa" w:w="9880"/>
        <w:jc w:val="left"/>
        <w:tblLayout w:type="fixed"/>
        <w:tblLook w:firstColumn="1" w:firstRow="1" w:lastColumn="0" w:lastRow="0" w:noHBand="0" w:noVBand="1" w:val="04A0"/>
        <w:tblInd w:w="0" w:type="dxa"/>
      </w:tblPr>
      <w:tblGrid>
        <w:gridCol w:w="2200"/>
        <w:gridCol w:w="7680"/>
      </w:tblGrid>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Age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24</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Undergraduate Institution</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Prairie View Institute, a fictional private HBCU</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Major</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English</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Academic Record</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2.94 cumulative; last three semesters 3.61</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Test Record</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160 LSAT</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Applicant Status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Two years after graduation</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Transcript &amp; Academic Context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Sophomore and junior years include withdrawals, two D grades, and uneven attendance. Final three semesters show a strong upward trend, including A grades in advanced writing seminars.</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Employment &amp; Experience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Full-time legal assistant at a small family-law firm since graduation; promoted to case coordinator; previously worked 25-30 hours weekly throughout college.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Leadership &amp; Service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Founded a campus mutual-aid book fund; continues volunteering with a domestic-violence shelter.</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Personal Statement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Powerful but controlled essay about translating complex court instructions for a shelter client and recognizing the importance of trauma-informed advocacy. Demonstrates purpose without presenting herself as the client's lawyer.</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Resume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Strong and substantive; clearly distinguishes administrative work from legal advice.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Recommendations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Current supervising attorney provides detailed evidence of diligence and writing growth; professor describes final-year excellence but notes earlier inconsistency.</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Addendum</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Explains that she became the primary caregiver for a parent after a stroke during sophomore year while working to cover household expenses. Includes dates, describes later support arrangements, accepts responsibility for waiting too long to seek help, and ties the explanation to the upward trend.</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Character &amp; Fitness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Campus disciplinary warning for repeatedly missing residence-hall duty as a student employee; disclosed, but the explanation is only two sentences.</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Demonstrated Interest &amp; Fit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Identifies family-law clinic, wellness resources, and academic-success programming; explains why each matters.</w:t>
            </w:r>
          </w:p>
        </w:tc>
      </w:tr>
    </w:tbl>
    <w:p>
      <w:pPr>
        <w:spacing w:after="20"/>
      </w:pPr>
    </w:p>
    <w:tbl>
      <w:tblPr>
        <w:tblW w:type="dxa" w:w="9880"/>
        <w:jc w:val="left"/>
        <w:tblLayout w:type="fixed"/>
        <w:tblLook w:firstColumn="1" w:firstRow="1" w:lastColumn="0" w:lastRow="0" w:noHBand="0" w:noVBand="1" w:val="04A0"/>
        <w:tblInd w:w="0" w:type="dxa"/>
      </w:tblPr>
      <w:tblGrid>
        <w:gridCol w:w="9880"/>
      </w:tblGrid>
      <w:tr>
        <w:tc>
          <w:tcPr>
            <w:tcW w:type="dxa" w:w="9880"/>
            <w:tcMar>
              <w:top w:w="58" w:type="dxa"/>
              <w:start w:w="130" w:type="dxa"/>
              <w:bottom w:w="58" w:type="dxa"/>
              <w:end w:w="130" w:type="dxa"/>
            </w:tcMar>
            <w:vAlign w:val="center"/>
            <w:shd w:fill="FBF8F3"/>
            <w:tcBorders>
              <w:top w:val="single" w:sz="4" w:color="CDD0DA"/>
              <w:bottom w:val="single" w:sz="4" w:color="CDD0DA"/>
              <w:start w:val="single" w:sz="4" w:color="CDD0DA"/>
              <w:end w:val="single" w:sz="4" w:color="CDD0DA"/>
            </w:tcBorders>
          </w:tcPr>
          <w:p>
            <w:pPr>
              <w:spacing w:after="0"/>
            </w:pPr>
            <w:r>
              <w:rPr>
                <w:rFonts w:ascii="Aptos" w:hAnsi="Aptos"/>
                <w:b/>
                <w:color w:val="972A2D"/>
                <w:sz w:val="16"/>
              </w:rPr>
              <w:t>MY DECISION:    ADMIT    /    WAITLIST    /    DENY</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Strongest factor:</w:t>
            </w:r>
            <w:r>
              <w:t xml:space="preserve">  ______________________________________________________________</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Greatest concern:</w:t>
            </w:r>
            <w:r>
              <w:t xml:space="preserve">  ______________________________________________________________</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One change that would most improve the application:</w:t>
            </w:r>
            <w:r>
              <w:t xml:space="preserve">  ______________________________________________________________</w:t>
            </w:r>
          </w:p>
        </w:tc>
      </w:tr>
    </w:tbl>
    <w:p>
      <w:r>
        <w:br w:type="page"/>
      </w:r>
    </w:p>
    <w:tbl>
      <w:tblPr>
        <w:tblW w:type="dxa" w:w="9880"/>
        <w:jc w:val="left"/>
        <w:tblLayout w:type="fixed"/>
        <w:tblLook w:firstColumn="1" w:firstRow="1" w:lastColumn="0" w:lastRow="0" w:noHBand="0" w:noVBand="1" w:val="04A0"/>
        <w:tblInd w:w="0" w:type="dxa"/>
      </w:tblPr>
      <w:tblGrid>
        <w:gridCol w:w="800"/>
        <w:gridCol w:w="9080"/>
      </w:tblGrid>
      <w:tr>
        <w:tc>
          <w:tcPr>
            <w:tcW w:type="dxa" w:w="800"/>
            <w:tcMar>
              <w:top w:w="20" w:type="dxa"/>
              <w:start w:w="40" w:type="dxa"/>
              <w:bottom w:w="20" w:type="dxa"/>
              <w:end w:w="40" w:type="dxa"/>
            </w:tcMar>
            <w:vAlign w:val="center"/>
            <w:tcBorders>
              <w:bottom w:val="single" w:sz="8" w:color="972A2D"/>
              <w:top w:val="nil"/>
              <w:start w:val="nil"/>
              <w:end w:val="nil"/>
            </w:tcBorders>
          </w:tcPr>
          <w:p>
            <w:r>
              <w:drawing>
                <wp:inline xmlns:a="http://schemas.openxmlformats.org/drawingml/2006/main" xmlns:pic="http://schemas.openxmlformats.org/drawingml/2006/picture">
                  <wp:extent cx="384048" cy="384048"/>
                  <wp:docPr id="6" name="Picture 6"/>
                  <wp:cNvGraphicFramePr>
                    <a:graphicFrameLocks noChangeAspect="1"/>
                  </wp:cNvGraphicFramePr>
                  <a:graphic>
                    <a:graphicData uri="http://schemas.openxmlformats.org/drawingml/2006/picture">
                      <pic:pic>
                        <pic:nvPicPr>
                          <pic:cNvPr id="0" name="Logo - HBCU Pre-Law Summit Circular(6).jpg"/>
                          <pic:cNvPicPr/>
                        </pic:nvPicPr>
                        <pic:blipFill>
                          <a:blip r:embed="rId12"/>
                          <a:stretch>
                            <a:fillRect/>
                          </a:stretch>
                        </pic:blipFill>
                        <pic:spPr>
                          <a:xfrm>
                            <a:off x="0" y="0"/>
                            <a:ext cx="384048" cy="384048"/>
                          </a:xfrm>
                          <a:prstGeom prst="rect"/>
                        </pic:spPr>
                      </pic:pic>
                    </a:graphicData>
                  </a:graphic>
                </wp:inline>
              </w:drawing>
            </w:r>
          </w:p>
        </w:tc>
        <w:tc>
          <w:tcPr>
            <w:tcW w:type="dxa" w:w="9080"/>
            <w:tcMar>
              <w:top w:w="20" w:type="dxa"/>
              <w:start w:w="40" w:type="dxa"/>
              <w:bottom w:w="20" w:type="dxa"/>
              <w:end w:w="40" w:type="dxa"/>
            </w:tcMar>
            <w:vAlign w:val="center"/>
            <w:tcBorders>
              <w:bottom w:val="single" w:sz="8" w:color="972A2D"/>
              <w:top w:val="nil"/>
              <w:start w:val="nil"/>
              <w:end w:val="nil"/>
            </w:tcBorders>
          </w:tcPr>
          <w:p>
            <w:pPr>
              <w:spacing w:before="20" w:after="20"/>
            </w:pPr>
            <w:r>
              <w:rPr>
                <w:rFonts w:ascii="Aptos" w:hAnsi="Aptos"/>
                <w:b/>
                <w:color w:val="302A72"/>
                <w:sz w:val="18"/>
              </w:rPr>
              <w:t>INSIDE THE ADMISSIONS ROOM</w:t>
            </w:r>
            <w:r>
              <w:br/>
            </w:r>
            <w:r>
              <w:rPr>
                <w:rFonts w:ascii="Aptos" w:hAnsi="Aptos"/>
                <w:b/>
                <w:color w:val="972A2D"/>
                <w:sz w:val="16"/>
              </w:rPr>
              <w:t>STUDENT AUDIENCE EXERCISE</w:t>
            </w:r>
          </w:p>
        </w:tc>
      </w:tr>
    </w:tbl>
    <w:p>
      <w:pPr>
        <w:spacing w:before="100" w:after="20"/>
      </w:pPr>
      <w:r>
        <w:rPr>
          <w:rFonts w:ascii="Aptos" w:hAnsi="Aptos"/>
          <w:b/>
          <w:color w:val="302A72"/>
          <w:sz w:val="32"/>
        </w:rPr>
        <w:t>APPLICANT FILE E: CAMERON PRICE</w:t>
      </w:r>
    </w:p>
    <w:p>
      <w:pPr>
        <w:spacing w:after="80"/>
      </w:pPr>
      <w:r>
        <w:rPr>
          <w:rFonts w:ascii="Aptos" w:hAnsi="Aptos"/>
          <w:i/>
          <w:color w:val="5C6270"/>
          <w:sz w:val="18"/>
        </w:rPr>
        <w:t>Fictional applicant for educational discussion only.</w:t>
      </w:r>
    </w:p>
    <w:tbl>
      <w:tblPr>
        <w:tblW w:type="dxa" w:w="9880"/>
        <w:jc w:val="left"/>
        <w:tblLayout w:type="fixed"/>
        <w:tblLook w:firstColumn="1" w:firstRow="1" w:lastColumn="0" w:lastRow="0" w:noHBand="0" w:noVBand="1" w:val="04A0"/>
        <w:tblInd w:w="0" w:type="dxa"/>
      </w:tblPr>
      <w:tblGrid>
        <w:gridCol w:w="2200"/>
        <w:gridCol w:w="7680"/>
      </w:tblGrid>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Age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23</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Undergraduate Institution</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Southeastern Research University, a fictional flagship PWI</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Major</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History</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Academic Record</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3.91 cumulative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Test Record</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171 LSAT</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Applicant Status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One year after graduation</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Transcript &amp; Academic Context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Exceptional record, honors thesis, Phi Beta Kappa-equivalent recognition, and no adverse trend.</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Employment &amp; Experience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Paralegal at a large law firm; prior judicial internship.</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Leadership &amp; Service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Minimal activity after college; served as debate-team captain as an undergraduate.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Personal Statement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Sophisticated essay about appellate advocacy and the power of precedent. Technically excellent, although emotionally distant.</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Resume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Impressive but contains a six-month employment overlap that is not explained.</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Recommendations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Two highly favorable faculty letters describing top-one-percent academic ability.</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Addendum</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None.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Character &amp; Fitness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Application answers no to all character-and-fitness questions. The credential-service report contains an institutional notation of a one-semester suspension for unauthorized collaboration. After the admissions office requests clarification, the applicant says the incident was not academic misconduct because the course allowed group study. The university record identifies copying portions of a take-home examination. A later email minimizes the conduct and blames vague instructions.</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5"/>
              </w:rPr>
              <w:t>Demonstrated Interest &amp; Fit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5"/>
              </w:rPr>
              <w:t>Strong knowledge of appellate programs and faculty scholarship.</w:t>
            </w:r>
          </w:p>
        </w:tc>
      </w:tr>
    </w:tbl>
    <w:p>
      <w:pPr>
        <w:spacing w:after="20"/>
      </w:pPr>
    </w:p>
    <w:tbl>
      <w:tblPr>
        <w:tblW w:type="dxa" w:w="9880"/>
        <w:jc w:val="left"/>
        <w:tblLayout w:type="fixed"/>
        <w:tblLook w:firstColumn="1" w:firstRow="1" w:lastColumn="0" w:lastRow="0" w:noHBand="0" w:noVBand="1" w:val="04A0"/>
        <w:tblInd w:w="0" w:type="dxa"/>
      </w:tblPr>
      <w:tblGrid>
        <w:gridCol w:w="9880"/>
      </w:tblGrid>
      <w:tr>
        <w:tc>
          <w:tcPr>
            <w:tcW w:type="dxa" w:w="9880"/>
            <w:tcMar>
              <w:top w:w="58" w:type="dxa"/>
              <w:start w:w="130" w:type="dxa"/>
              <w:bottom w:w="58" w:type="dxa"/>
              <w:end w:w="130" w:type="dxa"/>
            </w:tcMar>
            <w:vAlign w:val="center"/>
            <w:shd w:fill="FBF8F3"/>
            <w:tcBorders>
              <w:top w:val="single" w:sz="4" w:color="CDD0DA"/>
              <w:bottom w:val="single" w:sz="4" w:color="CDD0DA"/>
              <w:start w:val="single" w:sz="4" w:color="CDD0DA"/>
              <w:end w:val="single" w:sz="4" w:color="CDD0DA"/>
            </w:tcBorders>
          </w:tcPr>
          <w:p>
            <w:pPr>
              <w:spacing w:after="0"/>
            </w:pPr>
            <w:r>
              <w:rPr>
                <w:rFonts w:ascii="Aptos" w:hAnsi="Aptos"/>
                <w:b/>
                <w:color w:val="972A2D"/>
                <w:sz w:val="16"/>
              </w:rPr>
              <w:t>MY DECISION:    ADMIT    /    WAITLIST    /    DENY</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Strongest factor:</w:t>
            </w:r>
            <w:r>
              <w:t xml:space="preserve">  ______________________________________________________________</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Greatest concern:</w:t>
            </w:r>
            <w:r>
              <w:t xml:space="preserve">  ______________________________________________________________</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One change that would most improve the application:</w:t>
            </w:r>
            <w:r>
              <w:t xml:space="preserve">  ______________________________________________________________</w:t>
            </w:r>
          </w:p>
        </w:tc>
      </w:tr>
    </w:tbl>
    <w:p>
      <w:r>
        <w:br w:type="page"/>
      </w:r>
    </w:p>
    <w:tbl>
      <w:tblPr>
        <w:tblW w:type="dxa" w:w="9880"/>
        <w:jc w:val="left"/>
        <w:tblLayout w:type="fixed"/>
        <w:tblLook w:firstColumn="1" w:firstRow="1" w:lastColumn="0" w:lastRow="0" w:noHBand="0" w:noVBand="1" w:val="04A0"/>
        <w:tblInd w:w="0" w:type="dxa"/>
      </w:tblPr>
      <w:tblGrid>
        <w:gridCol w:w="800"/>
        <w:gridCol w:w="9080"/>
      </w:tblGrid>
      <w:tr>
        <w:tc>
          <w:tcPr>
            <w:tcW w:type="dxa" w:w="800"/>
            <w:tcMar>
              <w:top w:w="20" w:type="dxa"/>
              <w:start w:w="40" w:type="dxa"/>
              <w:bottom w:w="20" w:type="dxa"/>
              <w:end w:w="40" w:type="dxa"/>
            </w:tcMar>
            <w:vAlign w:val="center"/>
            <w:tcBorders>
              <w:bottom w:val="single" w:sz="8" w:color="972A2D"/>
              <w:top w:val="nil"/>
              <w:start w:val="nil"/>
              <w:end w:val="nil"/>
            </w:tcBorders>
          </w:tcPr>
          <w:p>
            <w:r>
              <w:drawing>
                <wp:inline xmlns:a="http://schemas.openxmlformats.org/drawingml/2006/main" xmlns:pic="http://schemas.openxmlformats.org/drawingml/2006/picture">
                  <wp:extent cx="384048" cy="384048"/>
                  <wp:docPr id="7" name="Picture 7"/>
                  <wp:cNvGraphicFramePr>
                    <a:graphicFrameLocks noChangeAspect="1"/>
                  </wp:cNvGraphicFramePr>
                  <a:graphic>
                    <a:graphicData uri="http://schemas.openxmlformats.org/drawingml/2006/picture">
                      <pic:pic>
                        <pic:nvPicPr>
                          <pic:cNvPr id="0" name="Logo - HBCU Pre-Law Summit Circular(6).jpg"/>
                          <pic:cNvPicPr/>
                        </pic:nvPicPr>
                        <pic:blipFill>
                          <a:blip r:embed="rId12"/>
                          <a:stretch>
                            <a:fillRect/>
                          </a:stretch>
                        </pic:blipFill>
                        <pic:spPr>
                          <a:xfrm>
                            <a:off x="0" y="0"/>
                            <a:ext cx="384048" cy="384048"/>
                          </a:xfrm>
                          <a:prstGeom prst="rect"/>
                        </pic:spPr>
                      </pic:pic>
                    </a:graphicData>
                  </a:graphic>
                </wp:inline>
              </w:drawing>
            </w:r>
          </w:p>
        </w:tc>
        <w:tc>
          <w:tcPr>
            <w:tcW w:type="dxa" w:w="9080"/>
            <w:tcMar>
              <w:top w:w="20" w:type="dxa"/>
              <w:start w:w="40" w:type="dxa"/>
              <w:bottom w:w="20" w:type="dxa"/>
              <w:end w:w="40" w:type="dxa"/>
            </w:tcMar>
            <w:vAlign w:val="center"/>
            <w:tcBorders>
              <w:bottom w:val="single" w:sz="8" w:color="972A2D"/>
              <w:top w:val="nil"/>
              <w:start w:val="nil"/>
              <w:end w:val="nil"/>
            </w:tcBorders>
          </w:tcPr>
          <w:p>
            <w:pPr>
              <w:spacing w:before="20" w:after="20"/>
            </w:pPr>
            <w:r>
              <w:rPr>
                <w:rFonts w:ascii="Aptos" w:hAnsi="Aptos"/>
                <w:b/>
                <w:color w:val="302A72"/>
                <w:sz w:val="18"/>
              </w:rPr>
              <w:t>INSIDE THE ADMISSIONS ROOM</w:t>
            </w:r>
            <w:r>
              <w:br/>
            </w:r>
            <w:r>
              <w:rPr>
                <w:rFonts w:ascii="Aptos" w:hAnsi="Aptos"/>
                <w:b/>
                <w:color w:val="972A2D"/>
                <w:sz w:val="16"/>
              </w:rPr>
              <w:t>STUDENT AUDIENCE EXERCISE</w:t>
            </w:r>
          </w:p>
        </w:tc>
      </w:tr>
    </w:tbl>
    <w:p>
      <w:pPr>
        <w:spacing w:before="100" w:after="20"/>
      </w:pPr>
      <w:r>
        <w:rPr>
          <w:rFonts w:ascii="Aptos" w:hAnsi="Aptos"/>
          <w:b/>
          <w:color w:val="302A72"/>
          <w:sz w:val="32"/>
        </w:rPr>
        <w:t>APPLICANT FILE F: NIA REYNOLDS</w:t>
      </w:r>
    </w:p>
    <w:p>
      <w:pPr>
        <w:spacing w:after="80"/>
      </w:pPr>
      <w:r>
        <w:rPr>
          <w:rFonts w:ascii="Aptos" w:hAnsi="Aptos"/>
          <w:i/>
          <w:color w:val="5C6270"/>
          <w:sz w:val="18"/>
        </w:rPr>
        <w:t>Fictional applicant for educational discussion only.</w:t>
      </w:r>
    </w:p>
    <w:tbl>
      <w:tblPr>
        <w:tblW w:type="dxa" w:w="9880"/>
        <w:jc w:val="left"/>
        <w:tblLayout w:type="fixed"/>
        <w:tblLook w:firstColumn="1" w:firstRow="1" w:lastColumn="0" w:lastRow="0" w:noHBand="0" w:noVBand="1" w:val="04A0"/>
        <w:tblInd w:w="0" w:type="dxa"/>
      </w:tblPr>
      <w:tblGrid>
        <w:gridCol w:w="2200"/>
        <w:gridCol w:w="7680"/>
      </w:tblGrid>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Age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22</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Undergraduate Institution</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Carolina Central College, a fictional public HBCU</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Major</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Criminal Justice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Academic Record</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3.34 cumulative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Test Record</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155 LSAT</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Applicant Status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College senior applying on the deadline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Transcript &amp; Academic Context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Mostly B/B+ work with A grades in two legal-studies courses. Transcript shows a lighter final-semester schedule with no explanation.</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Employment &amp; Experience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Part-time retail employment; one short courthouse internship.</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Leadership &amp; Service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Active member of three campus organizations but few leadership details.</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Personal Statement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Describes an interest in prosecution after watching crime dramas and says lawyers put bad people away. The essay contains broad claims, limited reflection, and several sentence-level errors.</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Resume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Uses inconsistent dates, lists high-school activities, and describes duties rather than achievements.</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Recommendations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One generic letter from an online-course instructor and one employer letter focused on punctuality; neither addresses analytical ability or writing.</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Addendum</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A two-page test-score addendum attributes the 155 entirely to anxiety but provides no testing history, treatment context, retake explanation, or other evidence. Tone is defensive.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Character &amp; Fitness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Minor residence-hall noise violation disclosed unnecessarily because the application excludes ordinary housing violations.</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Demonstrated Interest &amp; Fit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Essay names a clinic the school does not offer and contains the name of another institution in the header.</w:t>
            </w:r>
          </w:p>
        </w:tc>
      </w:tr>
    </w:tbl>
    <w:p>
      <w:pPr>
        <w:spacing w:after="20"/>
      </w:pPr>
    </w:p>
    <w:tbl>
      <w:tblPr>
        <w:tblW w:type="dxa" w:w="9880"/>
        <w:jc w:val="left"/>
        <w:tblLayout w:type="fixed"/>
        <w:tblLook w:firstColumn="1" w:firstRow="1" w:lastColumn="0" w:lastRow="0" w:noHBand="0" w:noVBand="1" w:val="04A0"/>
        <w:tblInd w:w="0" w:type="dxa"/>
      </w:tblPr>
      <w:tblGrid>
        <w:gridCol w:w="9880"/>
      </w:tblGrid>
      <w:tr>
        <w:tc>
          <w:tcPr>
            <w:tcW w:type="dxa" w:w="9880"/>
            <w:tcMar>
              <w:top w:w="58" w:type="dxa"/>
              <w:start w:w="130" w:type="dxa"/>
              <w:bottom w:w="58" w:type="dxa"/>
              <w:end w:w="130" w:type="dxa"/>
            </w:tcMar>
            <w:vAlign w:val="center"/>
            <w:shd w:fill="FBF8F3"/>
            <w:tcBorders>
              <w:top w:val="single" w:sz="4" w:color="CDD0DA"/>
              <w:bottom w:val="single" w:sz="4" w:color="CDD0DA"/>
              <w:start w:val="single" w:sz="4" w:color="CDD0DA"/>
              <w:end w:val="single" w:sz="4" w:color="CDD0DA"/>
            </w:tcBorders>
          </w:tcPr>
          <w:p>
            <w:pPr>
              <w:spacing w:after="0"/>
            </w:pPr>
            <w:r>
              <w:rPr>
                <w:rFonts w:ascii="Aptos" w:hAnsi="Aptos"/>
                <w:b/>
                <w:color w:val="972A2D"/>
                <w:sz w:val="16"/>
              </w:rPr>
              <w:t>MY DECISION:    ADMIT    /    WAITLIST    /    DENY</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Strongest factor:</w:t>
            </w:r>
            <w:r>
              <w:t xml:space="preserve">  ______________________________________________________________</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Greatest concern:</w:t>
            </w:r>
            <w:r>
              <w:t xml:space="preserve">  ______________________________________________________________</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One change that would most improve the application:</w:t>
            </w:r>
            <w:r>
              <w:t xml:space="preserve">  ______________________________________________________________</w:t>
            </w:r>
          </w:p>
        </w:tc>
      </w:tr>
    </w:tbl>
    <w:p>
      <w:r>
        <w:br w:type="page"/>
      </w:r>
    </w:p>
    <w:tbl>
      <w:tblPr>
        <w:tblW w:type="dxa" w:w="9880"/>
        <w:jc w:val="left"/>
        <w:tblLayout w:type="fixed"/>
        <w:tblLook w:firstColumn="1" w:firstRow="1" w:lastColumn="0" w:lastRow="0" w:noHBand="0" w:noVBand="1" w:val="04A0"/>
        <w:tblInd w:w="0" w:type="dxa"/>
      </w:tblPr>
      <w:tblGrid>
        <w:gridCol w:w="800"/>
        <w:gridCol w:w="9080"/>
      </w:tblGrid>
      <w:tr>
        <w:tc>
          <w:tcPr>
            <w:tcW w:type="dxa" w:w="800"/>
            <w:tcMar>
              <w:top w:w="20" w:type="dxa"/>
              <w:start w:w="40" w:type="dxa"/>
              <w:bottom w:w="20" w:type="dxa"/>
              <w:end w:w="40" w:type="dxa"/>
            </w:tcMar>
            <w:vAlign w:val="center"/>
            <w:tcBorders>
              <w:bottom w:val="single" w:sz="8" w:color="972A2D"/>
              <w:top w:val="nil"/>
              <w:start w:val="nil"/>
              <w:end w:val="nil"/>
            </w:tcBorders>
          </w:tcPr>
          <w:p>
            <w:r>
              <w:drawing>
                <wp:inline xmlns:a="http://schemas.openxmlformats.org/drawingml/2006/main" xmlns:pic="http://schemas.openxmlformats.org/drawingml/2006/picture">
                  <wp:extent cx="384048" cy="384048"/>
                  <wp:docPr id="8" name="Picture 8"/>
                  <wp:cNvGraphicFramePr>
                    <a:graphicFrameLocks noChangeAspect="1"/>
                  </wp:cNvGraphicFramePr>
                  <a:graphic>
                    <a:graphicData uri="http://schemas.openxmlformats.org/drawingml/2006/picture">
                      <pic:pic>
                        <pic:nvPicPr>
                          <pic:cNvPr id="0" name="Logo - HBCU Pre-Law Summit Circular(6).jpg"/>
                          <pic:cNvPicPr/>
                        </pic:nvPicPr>
                        <pic:blipFill>
                          <a:blip r:embed="rId12"/>
                          <a:stretch>
                            <a:fillRect/>
                          </a:stretch>
                        </pic:blipFill>
                        <pic:spPr>
                          <a:xfrm>
                            <a:off x="0" y="0"/>
                            <a:ext cx="384048" cy="384048"/>
                          </a:xfrm>
                          <a:prstGeom prst="rect"/>
                        </pic:spPr>
                      </pic:pic>
                    </a:graphicData>
                  </a:graphic>
                </wp:inline>
              </w:drawing>
            </w:r>
          </w:p>
        </w:tc>
        <w:tc>
          <w:tcPr>
            <w:tcW w:type="dxa" w:w="9080"/>
            <w:tcMar>
              <w:top w:w="20" w:type="dxa"/>
              <w:start w:w="40" w:type="dxa"/>
              <w:bottom w:w="20" w:type="dxa"/>
              <w:end w:w="40" w:type="dxa"/>
            </w:tcMar>
            <w:vAlign w:val="center"/>
            <w:tcBorders>
              <w:bottom w:val="single" w:sz="8" w:color="972A2D"/>
              <w:top w:val="nil"/>
              <w:start w:val="nil"/>
              <w:end w:val="nil"/>
            </w:tcBorders>
          </w:tcPr>
          <w:p>
            <w:pPr>
              <w:spacing w:before="20" w:after="20"/>
            </w:pPr>
            <w:r>
              <w:rPr>
                <w:rFonts w:ascii="Aptos" w:hAnsi="Aptos"/>
                <w:b/>
                <w:color w:val="302A72"/>
                <w:sz w:val="18"/>
              </w:rPr>
              <w:t>INSIDE THE ADMISSIONS ROOM</w:t>
            </w:r>
            <w:r>
              <w:br/>
            </w:r>
            <w:r>
              <w:rPr>
                <w:rFonts w:ascii="Aptos" w:hAnsi="Aptos"/>
                <w:b/>
                <w:color w:val="972A2D"/>
                <w:sz w:val="16"/>
              </w:rPr>
              <w:t>STUDENT AUDIENCE EXERCISE</w:t>
            </w:r>
          </w:p>
        </w:tc>
      </w:tr>
    </w:tbl>
    <w:p>
      <w:pPr>
        <w:spacing w:before="100" w:after="20"/>
      </w:pPr>
      <w:r>
        <w:rPr>
          <w:rFonts w:ascii="Aptos" w:hAnsi="Aptos"/>
          <w:b/>
          <w:color w:val="302A72"/>
          <w:sz w:val="32"/>
        </w:rPr>
        <w:t>APPLICANT FILE G: MARCUS GREEN</w:t>
      </w:r>
    </w:p>
    <w:p>
      <w:pPr>
        <w:spacing w:after="80"/>
      </w:pPr>
      <w:r>
        <w:rPr>
          <w:rFonts w:ascii="Aptos" w:hAnsi="Aptos"/>
          <w:i/>
          <w:color w:val="5C6270"/>
          <w:sz w:val="18"/>
        </w:rPr>
        <w:t>Fictional applicant for educational discussion only.</w:t>
      </w:r>
    </w:p>
    <w:tbl>
      <w:tblPr>
        <w:tblW w:type="dxa" w:w="9880"/>
        <w:jc w:val="left"/>
        <w:tblLayout w:type="fixed"/>
        <w:tblLook w:firstColumn="1" w:firstRow="1" w:lastColumn="0" w:lastRow="0" w:noHBand="0" w:noVBand="1" w:val="04A0"/>
        <w:tblInd w:w="0" w:type="dxa"/>
      </w:tblPr>
      <w:tblGrid>
        <w:gridCol w:w="2200"/>
        <w:gridCol w:w="7680"/>
      </w:tblGrid>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Age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27</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Undergraduate Institution</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River City University, a fictional urban public university</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Major</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Sociology</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Academic Record</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2.67 cumulative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Test Record</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149 LSAT after scores of 145 and 147</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Applicant Status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Five years after graduation</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Transcript &amp; Academic Context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Multiple semesters below 2.5, three repeated courses, and no sustained upward trend. Took one recent community-college paralegal course and earned an A, but no additional graded academic work.</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Employment &amp; Experience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Community outreach coordinator at a respected nonprofit; promoted once; strong record of organizing tenant workshops.</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Leadership &amp; Service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Extensive neighborhood leadership and mutual-aid work.</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Personal Statement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Compelling narrative about eviction prevention and community trust. The essay establishes sincere purpose and substantial service but devotes little attention to academic preparation or why a J.D. is necessary instead of continued policy work.</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Resume</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Strong community impact and measurable accomplishments.</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Recommendations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Executive director praises character and advocacy; second letter from a city council member is enthusiastic but generic. No academic recommendation.</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Addendum</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States that the GPA reflects being young and unfocused and that standardized tests have never shown his ability. Provides no dates, specific causes, study changes, or sustained academic evidence.</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Character &amp; Fitness</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Two collection accounts are disclosed where required; explanation is candid and documents a payment plan.</w:t>
            </w:r>
          </w:p>
        </w:tc>
      </w:tr>
      <w:tr>
        <w:tc>
          <w:tcPr>
            <w:tcW w:type="dxa" w:w="2200"/>
            <w:shd w:fill="F5F6F8"/>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b/>
                <w:color w:val="972A2D"/>
                <w:sz w:val="16"/>
              </w:rPr>
              <w:t>Demonstrated Interest &amp; Fit</w:t>
            </w:r>
          </w:p>
        </w:tc>
        <w:tc>
          <w:tcPr>
            <w:tcW w:type="dxa" w:w="7680"/>
            <w:vAlign w:val="center"/>
            <w:tcMar>
              <w:top w:w="35" w:type="dxa"/>
              <w:start w:w="120" w:type="dxa"/>
              <w:bottom w:w="35" w:type="dxa"/>
              <w:end w:w="120" w:type="dxa"/>
            </w:tcMar>
            <w:tcBorders>
              <w:bottom w:val="single" w:sz="3" w:color="CDD0DA"/>
              <w:top w:val="nil"/>
              <w:start w:val="nil"/>
              <w:end w:val="nil"/>
            </w:tcBorders>
          </w:tcPr>
          <w:p>
            <w:pPr>
              <w:spacing w:after="0"/>
            </w:pPr>
            <w:r>
              <w:rPr>
                <w:rFonts w:ascii="Aptos" w:hAnsi="Aptos"/>
                <w:color w:val="20222A"/>
                <w:sz w:val="16"/>
              </w:rPr>
              <w:t>Strong public-interest fit and knowledge of the school's community clinic.</w:t>
            </w:r>
          </w:p>
        </w:tc>
      </w:tr>
    </w:tbl>
    <w:p>
      <w:pPr>
        <w:spacing w:after="20"/>
      </w:pPr>
    </w:p>
    <w:tbl>
      <w:tblPr>
        <w:tblW w:type="dxa" w:w="9880"/>
        <w:jc w:val="left"/>
        <w:tblLayout w:type="fixed"/>
        <w:tblLook w:firstColumn="1" w:firstRow="1" w:lastColumn="0" w:lastRow="0" w:noHBand="0" w:noVBand="1" w:val="04A0"/>
        <w:tblInd w:w="0" w:type="dxa"/>
      </w:tblPr>
      <w:tblGrid>
        <w:gridCol w:w="9880"/>
      </w:tblGrid>
      <w:tr>
        <w:tc>
          <w:tcPr>
            <w:tcW w:type="dxa" w:w="9880"/>
            <w:tcMar>
              <w:top w:w="58" w:type="dxa"/>
              <w:start w:w="130" w:type="dxa"/>
              <w:bottom w:w="58" w:type="dxa"/>
              <w:end w:w="130" w:type="dxa"/>
            </w:tcMar>
            <w:vAlign w:val="center"/>
            <w:shd w:fill="FBF8F3"/>
            <w:tcBorders>
              <w:top w:val="single" w:sz="4" w:color="CDD0DA"/>
              <w:bottom w:val="single" w:sz="4" w:color="CDD0DA"/>
              <w:start w:val="single" w:sz="4" w:color="CDD0DA"/>
              <w:end w:val="single" w:sz="4" w:color="CDD0DA"/>
            </w:tcBorders>
          </w:tcPr>
          <w:p>
            <w:pPr>
              <w:spacing w:after="0"/>
            </w:pPr>
            <w:r>
              <w:rPr>
                <w:rFonts w:ascii="Aptos" w:hAnsi="Aptos"/>
                <w:b/>
                <w:color w:val="972A2D"/>
                <w:sz w:val="16"/>
              </w:rPr>
              <w:t>MY DECISION:    ADMIT    /    WAITLIST    /    DENY</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Strongest factor:</w:t>
            </w:r>
            <w:r>
              <w:t xml:space="preserve">  ______________________________________________________________</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Greatest concern:</w:t>
            </w:r>
            <w:r>
              <w:t xml:space="preserve">  ______________________________________________________________</w:t>
            </w:r>
          </w:p>
        </w:tc>
      </w:tr>
      <w:tr>
        <w:tc>
          <w:tcPr>
            <w:tcW w:type="dxa" w:w="9880"/>
            <w:tcMar>
              <w:top w:w="58" w:type="dxa"/>
              <w:start w:w="130" w:type="dxa"/>
              <w:bottom w:w="58" w:type="dxa"/>
              <w:end w:w="130" w:type="dxa"/>
            </w:tcMar>
            <w:vAlign w:val="center"/>
            <w:shd w:fill="FFFFFF"/>
            <w:tcBorders>
              <w:top w:val="single" w:sz="4" w:color="CDD0DA"/>
              <w:bottom w:val="single" w:sz="4" w:color="CDD0DA"/>
              <w:start w:val="single" w:sz="4" w:color="CDD0DA"/>
              <w:end w:val="single" w:sz="4" w:color="CDD0DA"/>
            </w:tcBorders>
          </w:tcPr>
          <w:p>
            <w:pPr>
              <w:spacing w:after="0"/>
            </w:pPr>
            <w:r>
              <w:rPr>
                <w:rFonts w:ascii="Aptos" w:hAnsi="Aptos"/>
                <w:b/>
                <w:color w:val="302A72"/>
                <w:sz w:val="16"/>
              </w:rPr>
              <w:t>One change that would most improve the application:</w:t>
            </w:r>
            <w:r>
              <w:t xml:space="preserve">  ______________________________________________________________</w:t>
            </w:r>
          </w:p>
        </w:tc>
      </w:tr>
    </w:tbl>
    <w:sectPr w:rsidR="00FC693F" w:rsidRPr="0006063C" w:rsidSect="00034616">
      <w:headerReference w:type="default" r:id="rId9"/>
      <w:footerReference w:type="default" r:id="rId10"/>
      <w:pgSz w:w="12240" w:h="15840"/>
      <w:pgMar w:top="893" w:right="1181" w:bottom="893" w:left="1181" w:header="346"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880"/>
      <w:jc w:val="left"/>
      <w:tblLayout w:type="fixed"/>
      <w:tblLook w:firstColumn="1" w:firstRow="1" w:lastColumn="0" w:lastRow="0" w:noHBand="0" w:noVBand="1" w:val="04A0"/>
      <w:tblInd w:w="0" w:type="dxa"/>
    </w:tblPr>
    <w:tblGrid>
      <w:gridCol w:w="650"/>
      <w:gridCol w:w="6900"/>
      <w:gridCol w:w="2330"/>
    </w:tblGrid>
    <w:tr>
      <w:tc>
        <w:tcPr>
          <w:tcW w:type="dxa" w:w="650"/>
          <w:tcMar>
            <w:top w:w="0" w:type="dxa"/>
            <w:start w:w="20" w:type="dxa"/>
            <w:bottom w:w="0" w:type="dxa"/>
            <w:end w:w="20" w:type="dxa"/>
          </w:tcMar>
          <w:vAlign w:val="center"/>
          <w:tcBorders>
            <w:top w:val="nil"/>
            <w:bottom w:val="nil"/>
            <w:start w:val="nil"/>
            <w:end w:val="nil"/>
          </w:tcBorders>
        </w:tcPr>
        <w:p>
          <w:r>
            <w:drawing>
              <wp:inline xmlns:a="http://schemas.openxmlformats.org/drawingml/2006/main" xmlns:pic="http://schemas.openxmlformats.org/drawingml/2006/picture">
                <wp:extent cx="274320" cy="274320"/>
                <wp:docPr id="1" name="Picture 1"/>
                <wp:cNvGraphicFramePr>
                  <a:graphicFrameLocks noChangeAspect="1"/>
                </wp:cNvGraphicFramePr>
                <a:graphic>
                  <a:graphicData uri="http://schemas.openxmlformats.org/drawingml/2006/picture">
                    <pic:pic>
                      <pic:nvPicPr>
                        <pic:cNvPr id="0" name="Logo - HBCU Pre-Law Summit Circular(6).jpg"/>
                        <pic:cNvPicPr/>
                      </pic:nvPicPr>
                      <pic:blipFill>
                        <a:blip r:embed="rId1"/>
                        <a:stretch>
                          <a:fillRect/>
                        </a:stretch>
                      </pic:blipFill>
                      <pic:spPr>
                        <a:xfrm>
                          <a:off x="0" y="0"/>
                          <a:ext cx="274320" cy="274320"/>
                        </a:xfrm>
                        <a:prstGeom prst="rect"/>
                      </pic:spPr>
                    </pic:pic>
                  </a:graphicData>
                </a:graphic>
              </wp:inline>
            </w:drawing>
          </w:r>
        </w:p>
      </w:tc>
      <w:tc>
        <w:tcPr>
          <w:tcW w:type="dxa" w:w="6900"/>
          <w:tcMar>
            <w:top w:w="0" w:type="dxa"/>
            <w:start w:w="20" w:type="dxa"/>
            <w:bottom w:w="0" w:type="dxa"/>
            <w:end w:w="20" w:type="dxa"/>
          </w:tcMar>
          <w:vAlign w:val="center"/>
          <w:tcBorders>
            <w:top w:val="nil"/>
            <w:bottom w:val="nil"/>
            <w:start w:val="nil"/>
            <w:end w:val="nil"/>
          </w:tcBorders>
        </w:tcPr>
        <w:p>
          <w:pPr>
            <w:spacing w:after="0"/>
            <w:jc w:val="center"/>
          </w:pPr>
          <w:r>
            <w:rPr>
              <w:rFonts w:ascii="Aptos" w:hAnsi="Aptos"/>
              <w:b/>
              <w:color w:val="5C6270"/>
              <w:sz w:val="15"/>
            </w:rPr>
            <w:t>Student Audience Exercise | Inside the Admissions Room</w:t>
          </w:r>
        </w:p>
      </w:tc>
      <w:tc>
        <w:tcPr>
          <w:tcW w:type="dxa" w:w="2330"/>
          <w:tcMar>
            <w:top w:w="0" w:type="dxa"/>
            <w:start w:w="20" w:type="dxa"/>
            <w:bottom w:w="0" w:type="dxa"/>
            <w:end w:w="20" w:type="dxa"/>
          </w:tcMar>
          <w:vAlign w:val="center"/>
          <w:tcBorders>
            <w:top w:val="nil"/>
            <w:bottom w:val="nil"/>
            <w:start w:val="nil"/>
            <w:end w:val="nil"/>
          </w:tcBorders>
        </w:tcPr>
        <w:p>
          <w:pPr>
            <w:jc w:val="right"/>
          </w:pPr>
          <w:r>
            <w:rPr>
              <w:rFonts w:ascii="Aptos" w:hAnsi="Aptos"/>
              <w:color w:val="5C6270"/>
              <w:sz w:val="16"/>
            </w:rPr>
            <w:t xml:space="preserve">Page </w:t>
          </w:r>
          <w:fldSimple w:instr="PAGE">
            <w:r>
              <w:rPr>
                <w:color w:val="5C6270"/>
                <w:sz w:val="17"/>
              </w:rPr>
              <w:t>1</w:t>
            </w:r>
          </w:fldSimple>
          <w:r>
            <w:rPr>
              <w:rFonts w:ascii="Aptos" w:hAnsi="Aptos"/>
              <w:color w:val="5C6270"/>
              <w:sz w:val="16"/>
            </w:rPr>
            <w:t xml:space="preserve"> of 8</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60" w:line="254" w:lineRule="auto"/>
    </w:pPr>
    <w:rPr>
      <w:rFonts w:ascii="Aptos" w:hAnsi="Aptos"/>
      <w:color w:val="20222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w:hAnsi="Aptos"/>
      <w:b/>
      <w:bCs/>
      <w:color w:val="302A72"/>
      <w:sz w:val="31"/>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ptos" w:hAnsi="Aptos"/>
      <w:b/>
      <w:bCs/>
      <w:color w:val="972A2D"/>
      <w:sz w:val="24"/>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Aptos" w:hAnsi="Aptos"/>
      <w:b/>
      <w:bCs/>
      <w:color w:val="302A72"/>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54" w:lineRule="auto"/>
      <w:ind w:left="547" w:hanging="274"/>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line="254" w:lineRule="auto"/>
      <w:ind w:left="547" w:hanging="274"/>
      <w:contextualSpacing/>
    </w:pPr>
    <w:rPr>
      <w:rFonts w:ascii="Aptos" w:hAnsi="Aptos"/>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1.jpg"/></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Inside the Admissions Room - Student Audience Exercise</dc:title>
  <dc:subject>13th Annual National HBCU Pre-Law Summit &amp; Law Expo</dc:subject>
  <dc:creator>The National HBCU Pre-Law Summit</dc:creator>
  <cp:keywords/>
  <dc:description>generated by python-docx</dc:description>
  <cp:lastModifiedBy/>
  <cp:revision>1</cp:revision>
  <dcterms:created xsi:type="dcterms:W3CDTF">2013-12-23T23:15:00Z</dcterms:created>
  <dcterms:modified xsi:type="dcterms:W3CDTF">2013-12-23T23:15:00Z</dcterms:modified>
  <cp:category/>
</cp:coreProperties>
</file>